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D7B68" w14:textId="41182452" w:rsidR="00A40AA4" w:rsidRPr="002B37E2" w:rsidRDefault="00A40AA4" w:rsidP="00A40AA4">
      <w:pPr>
        <w:pStyle w:val="Kop1"/>
        <w:jc w:val="center"/>
      </w:pPr>
      <w:bookmarkStart w:id="0" w:name="_Toc446319072"/>
      <w:r w:rsidRPr="002B37E2">
        <w:drawing>
          <wp:anchor distT="0" distB="0" distL="114300" distR="114300" simplePos="0" relativeHeight="251659264" behindDoc="0" locked="0" layoutInCell="1" allowOverlap="1" wp14:anchorId="5C5518EF" wp14:editId="0BB23886">
            <wp:simplePos x="0" y="0"/>
            <wp:positionH relativeFrom="column">
              <wp:posOffset>-59055</wp:posOffset>
            </wp:positionH>
            <wp:positionV relativeFrom="page">
              <wp:posOffset>454660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7E2">
        <w:rPr>
          <w:caps w:val="0"/>
        </w:rPr>
        <w:t xml:space="preserve">Centre Pilote Pomme </w:t>
      </w:r>
      <w:r w:rsidR="00B93B93" w:rsidRPr="002B37E2">
        <w:rPr>
          <w:caps w:val="0"/>
        </w:rPr>
        <w:t>d</w:t>
      </w:r>
      <w:r w:rsidRPr="002B37E2">
        <w:rPr>
          <w:caps w:val="0"/>
        </w:rPr>
        <w:t xml:space="preserve">e </w:t>
      </w:r>
      <w:r w:rsidR="00B93B93" w:rsidRPr="002B37E2">
        <w:rPr>
          <w:caps w:val="0"/>
        </w:rPr>
        <w:t>t</w:t>
      </w:r>
      <w:r w:rsidRPr="002B37E2">
        <w:rPr>
          <w:caps w:val="0"/>
        </w:rPr>
        <w:t>erre</w:t>
      </w:r>
      <w:r w:rsidRPr="002B37E2">
        <w:rPr>
          <w:rStyle w:val="Voetnootmarkering"/>
          <w:rFonts w:cstheme="minorHAnsi"/>
          <w:bCs/>
          <w:sz w:val="32"/>
          <w:szCs w:val="32"/>
        </w:rPr>
        <w:footnoteReference w:id="1"/>
      </w:r>
    </w:p>
    <w:bookmarkEnd w:id="0"/>
    <w:p w14:paraId="50D191D4" w14:textId="77777777" w:rsidR="009E5DFE" w:rsidRDefault="009E5DFE" w:rsidP="009E5DFE">
      <w:pPr>
        <w:rPr>
          <w:sz w:val="8"/>
          <w:szCs w:val="8"/>
          <w:highlight w:val="red"/>
          <w:lang w:val="nl-BE"/>
        </w:rPr>
      </w:pPr>
    </w:p>
    <w:p w14:paraId="0FA9B52F" w14:textId="2DE89E44" w:rsidR="007271FF" w:rsidRPr="007271FF" w:rsidRDefault="007271FF" w:rsidP="009E5DFE">
      <w:pPr>
        <w:rPr>
          <w:rFonts w:ascii="Times New Roman" w:hAnsi="Times New Roman" w:cs="Times New Roman"/>
          <w:b/>
          <w:bCs/>
          <w:sz w:val="24"/>
          <w:szCs w:val="24"/>
          <w:highlight w:val="red"/>
          <w:u w:val="single"/>
          <w:lang w:val="nl-BE"/>
        </w:rPr>
      </w:pPr>
      <w:r w:rsidRPr="007271FF">
        <w:rPr>
          <w:rFonts w:ascii="Times New Roman" w:hAnsi="Times New Roman" w:cs="Times New Roman"/>
          <w:b/>
          <w:bCs/>
          <w:sz w:val="24"/>
          <w:szCs w:val="24"/>
          <w:u w:val="single"/>
          <w:lang w:val="nl-BE"/>
        </w:rPr>
        <w:t>Beoordeling van de Belgische aardappelvoorraden op 1 februari 2024</w:t>
      </w:r>
    </w:p>
    <w:p w14:paraId="6E9A6A22" w14:textId="77777777" w:rsidR="002F56AF" w:rsidRDefault="002F56AF" w:rsidP="00A07AAF">
      <w:pPr>
        <w:pStyle w:val="Kop3"/>
        <w:spacing w:after="0"/>
        <w:rPr>
          <w:rFonts w:ascii="Times New Roman" w:hAnsi="Times New Roman" w:cs="Times New Roman"/>
          <w:b w:val="0"/>
          <w:bCs/>
          <w:color w:val="0D0D0D"/>
          <w:sz w:val="24"/>
          <w:szCs w:val="24"/>
          <w:shd w:val="clear" w:color="auto" w:fill="FFFFFF"/>
          <w:lang w:val="nl-BE"/>
        </w:rPr>
      </w:pPr>
    </w:p>
    <w:p w14:paraId="57784B2F" w14:textId="51380EBE" w:rsidR="00A07AAF" w:rsidRPr="00A07AAF" w:rsidRDefault="00B92B21" w:rsidP="00A07AAF">
      <w:pPr>
        <w:pStyle w:val="Kop3"/>
        <w:spacing w:after="0"/>
        <w:rPr>
          <w:rFonts w:ascii="Times New Roman" w:hAnsi="Times New Roman" w:cs="Times New Roman"/>
          <w:b w:val="0"/>
          <w:bCs/>
          <w:color w:val="0D0D0D"/>
          <w:sz w:val="24"/>
          <w:szCs w:val="24"/>
          <w:shd w:val="clear" w:color="auto" w:fill="FFFFFF"/>
          <w:lang w:val="nl-BE"/>
        </w:rPr>
      </w:pPr>
      <w:r w:rsidRPr="00C834AB">
        <w:rPr>
          <w:rFonts w:ascii="Times New Roman" w:hAnsi="Times New Roman" w:cs="Times New Roman"/>
          <w:b w:val="0"/>
          <w:bCs/>
          <w:color w:val="0D0D0D"/>
          <w:sz w:val="24"/>
          <w:szCs w:val="24"/>
          <w:shd w:val="clear" w:color="auto" w:fill="FFFFFF"/>
          <w:lang w:val="nl-BE"/>
        </w:rPr>
        <w:t xml:space="preserve">De beoordeling van de voorraden in de lopende commercialisatie blijft een element van primair belang om de evolutie van de markten te begrijpen. Voor het 27e opeenvolgende jaar wordt een enquête uitgevoerd door </w:t>
      </w:r>
      <w:proofErr w:type="spellStart"/>
      <w:r w:rsidRPr="00C834AB">
        <w:rPr>
          <w:rFonts w:ascii="Times New Roman" w:hAnsi="Times New Roman" w:cs="Times New Roman"/>
          <w:b w:val="0"/>
          <w:bCs/>
          <w:color w:val="0D0D0D"/>
          <w:sz w:val="24"/>
          <w:szCs w:val="24"/>
          <w:shd w:val="clear" w:color="auto" w:fill="FFFFFF"/>
          <w:lang w:val="nl-BE"/>
        </w:rPr>
        <w:t>Fiwap</w:t>
      </w:r>
      <w:proofErr w:type="spellEnd"/>
      <w:r w:rsidRPr="00C834AB">
        <w:rPr>
          <w:rFonts w:ascii="Times New Roman" w:hAnsi="Times New Roman" w:cs="Times New Roman"/>
          <w:b w:val="0"/>
          <w:bCs/>
          <w:color w:val="0D0D0D"/>
          <w:sz w:val="24"/>
          <w:szCs w:val="24"/>
          <w:shd w:val="clear" w:color="auto" w:fill="FFFFFF"/>
          <w:lang w:val="nl-BE"/>
        </w:rPr>
        <w:t xml:space="preserve">, </w:t>
      </w:r>
      <w:proofErr w:type="spellStart"/>
      <w:r w:rsidRPr="00C834AB">
        <w:rPr>
          <w:rFonts w:ascii="Times New Roman" w:hAnsi="Times New Roman" w:cs="Times New Roman"/>
          <w:b w:val="0"/>
          <w:bCs/>
          <w:color w:val="0D0D0D"/>
          <w:sz w:val="24"/>
          <w:szCs w:val="24"/>
          <w:shd w:val="clear" w:color="auto" w:fill="FFFFFF"/>
          <w:lang w:val="nl-BE"/>
        </w:rPr>
        <w:t>Carah</w:t>
      </w:r>
      <w:proofErr w:type="spellEnd"/>
      <w:r w:rsidRPr="00C834AB">
        <w:rPr>
          <w:rFonts w:ascii="Times New Roman" w:hAnsi="Times New Roman" w:cs="Times New Roman"/>
          <w:b w:val="0"/>
          <w:bCs/>
          <w:color w:val="0D0D0D"/>
          <w:sz w:val="24"/>
          <w:szCs w:val="24"/>
          <w:shd w:val="clear" w:color="auto" w:fill="FFFFFF"/>
          <w:lang w:val="nl-BE"/>
        </w:rPr>
        <w:t xml:space="preserve"> en </w:t>
      </w:r>
      <w:proofErr w:type="spellStart"/>
      <w:r w:rsidRPr="00C834AB">
        <w:rPr>
          <w:rFonts w:ascii="Times New Roman" w:hAnsi="Times New Roman" w:cs="Times New Roman"/>
          <w:b w:val="0"/>
          <w:bCs/>
          <w:color w:val="0D0D0D"/>
          <w:sz w:val="24"/>
          <w:szCs w:val="24"/>
          <w:shd w:val="clear" w:color="auto" w:fill="FFFFFF"/>
          <w:lang w:val="nl-BE"/>
        </w:rPr>
        <w:t>Inagro</w:t>
      </w:r>
      <w:proofErr w:type="spellEnd"/>
      <w:r w:rsidRPr="00C834AB">
        <w:rPr>
          <w:rFonts w:ascii="Times New Roman" w:hAnsi="Times New Roman" w:cs="Times New Roman"/>
          <w:b w:val="0"/>
          <w:bCs/>
          <w:color w:val="0D0D0D"/>
          <w:sz w:val="24"/>
          <w:szCs w:val="24"/>
          <w:shd w:val="clear" w:color="auto" w:fill="FFFFFF"/>
          <w:lang w:val="nl-BE"/>
        </w:rPr>
        <w:t xml:space="preserve">/PCA onder 223 Belgische aardappelproducenten. In Wallonië hebben 94 boeren de enquête beantwoord, met een representatief aandeel van de oppervlakte voor elke provincie (Waals-Brabant: 14; Luik: 11; Namen: 16; Henegouwen: 53). </w:t>
      </w:r>
      <w:r w:rsidRPr="00A07AAF">
        <w:rPr>
          <w:rFonts w:ascii="Times New Roman" w:hAnsi="Times New Roman" w:cs="Times New Roman"/>
          <w:b w:val="0"/>
          <w:bCs/>
          <w:color w:val="0D0D0D"/>
          <w:sz w:val="24"/>
          <w:szCs w:val="24"/>
          <w:shd w:val="clear" w:color="auto" w:fill="FFFFFF"/>
          <w:lang w:val="nl-BE"/>
        </w:rPr>
        <w:t>In Vlaanderen betrof het onderzoek 128 producenten van co</w:t>
      </w:r>
      <w:r w:rsidR="00A0492F" w:rsidRPr="00A07AAF">
        <w:rPr>
          <w:rFonts w:ascii="Times New Roman" w:hAnsi="Times New Roman" w:cs="Times New Roman"/>
          <w:b w:val="0"/>
          <w:bCs/>
          <w:color w:val="0D0D0D"/>
          <w:sz w:val="24"/>
          <w:szCs w:val="24"/>
          <w:shd w:val="clear" w:color="auto" w:fill="FFFFFF"/>
          <w:lang w:val="nl-BE"/>
        </w:rPr>
        <w:t>nsu</w:t>
      </w:r>
      <w:r w:rsidRPr="00A07AAF">
        <w:rPr>
          <w:rFonts w:ascii="Times New Roman" w:hAnsi="Times New Roman" w:cs="Times New Roman"/>
          <w:b w:val="0"/>
          <w:bCs/>
          <w:color w:val="0D0D0D"/>
          <w:sz w:val="24"/>
          <w:szCs w:val="24"/>
          <w:shd w:val="clear" w:color="auto" w:fill="FFFFFF"/>
          <w:lang w:val="nl-BE"/>
        </w:rPr>
        <w:t>mptieaardappelen.</w:t>
      </w:r>
    </w:p>
    <w:p w14:paraId="73ED5691" w14:textId="39ED162B" w:rsidR="00A0492F" w:rsidRPr="00A07AAF" w:rsidRDefault="00A0492F" w:rsidP="00A07AAF">
      <w:pPr>
        <w:pStyle w:val="Kop3"/>
        <w:spacing w:after="0"/>
        <w:rPr>
          <w:rFonts w:ascii="Times New Roman" w:hAnsi="Times New Roman" w:cs="Times New Roman"/>
          <w:color w:val="0D0D0D"/>
          <w:sz w:val="24"/>
          <w:szCs w:val="24"/>
          <w:shd w:val="clear" w:color="auto" w:fill="FFFFFF"/>
          <w:lang w:val="nl-BE"/>
        </w:rPr>
      </w:pPr>
      <w:r w:rsidRPr="00A07AAF">
        <w:rPr>
          <w:lang w:val="nl-BE"/>
        </w:rPr>
        <w:t xml:space="preserve">7% van het Belgische areaal niet geoogst </w:t>
      </w:r>
    </w:p>
    <w:p w14:paraId="6DC21B59" w14:textId="3DAEBF4A" w:rsidR="00934FC2" w:rsidRPr="00A0492F" w:rsidRDefault="00A0492F" w:rsidP="00934FC2">
      <w:pPr>
        <w:rPr>
          <w:lang w:val="nl-BE"/>
        </w:rPr>
      </w:pPr>
      <w:r w:rsidRPr="00A0492F">
        <w:rPr>
          <w:lang w:val="nl-BE"/>
        </w:rPr>
        <w:t>Uit het onderzoek van 15 november jongstleden bleek dat 11% van het Belgische aardappelareaal nog moest worden geoogst (15% in Vlaanderen, 8% in Wallonië). Begin februari is dit percentage gedaald naar 7% (9% in Vlaanderen, 4% in Wallonië), wat overeenkomt met ongeveer 7.000 hectare die nu als verloren worden beschouwd. De provincies die het meest getroffen zijn, zijn West-Vlaanderen (13%), Oost-Vlaanderen (11%) en Vlaams-Brabant (9%). In de andere provincies variëren de niet-geoogste oppervlakten van 1 tot 5%, met 5% in Henegouwen en 4% in Waals-Brabant en Luik. De Belgische oogst van 2023 is daardoor verminderd met ongeveer 400.000 ton ten opzichte van de schatting in de herfst van 2023, en komt uit op 4,45 miljoen ton (waarvan 260.000 ton vroege aardappelen). Het vijfjarig gemiddelde (alle aardappelsoorten) bedraagt 4,08 miljoen ton. Er wordt dus meer geproduceerd, maar tegelijkertijd is de verwerkingscapaciteit in België de afgelopen jaren sterk toegenomen. De oogst van bewaarvariëteiten wordt geschat op 4,19 miljoen ton (tabel 1), wat 490.000 ton meer is dan vorig jaar en 290.000 ton meer dan het driemaandelijks gemiddelde.</w:t>
      </w:r>
    </w:p>
    <w:p w14:paraId="168F6F0D" w14:textId="77777777" w:rsidR="00976FC7" w:rsidRPr="00A0492F" w:rsidRDefault="00976FC7" w:rsidP="00976FC7">
      <w:pPr>
        <w:spacing w:after="0"/>
        <w:rPr>
          <w:rFonts w:ascii="Calibri" w:eastAsia="Times New Roman" w:hAnsi="Calibri" w:cs="Calibri"/>
          <w:sz w:val="4"/>
          <w:szCs w:val="4"/>
          <w:highlight w:val="red"/>
          <w:lang w:val="nl-BE" w:eastAsia="fr-FR"/>
        </w:rPr>
      </w:pPr>
    </w:p>
    <w:p w14:paraId="17A4087D" w14:textId="29BA0687" w:rsidR="00976FC7" w:rsidRPr="00786D7E" w:rsidRDefault="00786D7E" w:rsidP="00976FC7">
      <w:pPr>
        <w:pStyle w:val="Bijschrift"/>
        <w:rPr>
          <w:rFonts w:eastAsia="Times New Roman"/>
          <w:lang w:val="nl-BE" w:eastAsia="fr-FR"/>
        </w:rPr>
      </w:pPr>
      <w:r w:rsidRPr="00786D7E">
        <w:rPr>
          <w:rFonts w:eastAsia="Times New Roman"/>
          <w:u w:val="single"/>
          <w:lang w:val="nl-BE" w:eastAsia="fr-FR"/>
        </w:rPr>
        <w:t>Tabel 1</w:t>
      </w:r>
      <w:r w:rsidRPr="00786D7E">
        <w:rPr>
          <w:rFonts w:eastAsia="Times New Roman"/>
          <w:lang w:val="nl-BE" w:eastAsia="fr-FR"/>
        </w:rPr>
        <w:t xml:space="preserve">: Schattingen van de productie van consumptieaardappelen (bronnen: </w:t>
      </w:r>
      <w:proofErr w:type="spellStart"/>
      <w:r w:rsidRPr="00786D7E">
        <w:rPr>
          <w:rFonts w:eastAsia="Times New Roman"/>
          <w:lang w:val="nl-BE" w:eastAsia="fr-FR"/>
        </w:rPr>
        <w:t>Fiwap</w:t>
      </w:r>
      <w:proofErr w:type="spellEnd"/>
      <w:r w:rsidRPr="00786D7E">
        <w:rPr>
          <w:rFonts w:eastAsia="Times New Roman"/>
          <w:lang w:val="nl-BE" w:eastAsia="fr-FR"/>
        </w:rPr>
        <w:t>/PCA/</w:t>
      </w:r>
      <w:proofErr w:type="spellStart"/>
      <w:r w:rsidRPr="00786D7E">
        <w:rPr>
          <w:rFonts w:eastAsia="Times New Roman"/>
          <w:lang w:val="nl-BE" w:eastAsia="fr-FR"/>
        </w:rPr>
        <w:t>Carah</w:t>
      </w:r>
      <w:proofErr w:type="spellEnd"/>
      <w:r w:rsidRPr="00786D7E">
        <w:rPr>
          <w:rFonts w:eastAsia="Times New Roman"/>
          <w:lang w:val="nl-BE" w:eastAsia="fr-FR"/>
        </w:rPr>
        <w:t>/</w:t>
      </w:r>
      <w:proofErr w:type="spellStart"/>
      <w:r w:rsidRPr="00786D7E">
        <w:rPr>
          <w:rFonts w:eastAsia="Times New Roman"/>
          <w:lang w:val="nl-BE" w:eastAsia="fr-FR"/>
        </w:rPr>
        <w:t>Inagro</w:t>
      </w:r>
      <w:proofErr w:type="spellEnd"/>
      <w:r w:rsidRPr="00786D7E">
        <w:rPr>
          <w:rFonts w:eastAsia="Times New Roman"/>
          <w:lang w:val="nl-BE" w:eastAsia="fr-FR"/>
        </w:rPr>
        <w:t>)</w:t>
      </w:r>
      <w:r w:rsidR="00976FC7" w:rsidRPr="00786D7E">
        <w:rPr>
          <w:rFonts w:eastAsia="Times New Roman"/>
          <w:lang w:val="nl-BE" w:eastAsia="fr-FR"/>
        </w:rPr>
        <w:t>:</w:t>
      </w:r>
    </w:p>
    <w:tbl>
      <w:tblPr>
        <w:tblStyle w:val="Rastertabel4-Accent1"/>
        <w:tblW w:w="10072" w:type="dxa"/>
        <w:tblLook w:val="04A0" w:firstRow="1" w:lastRow="0" w:firstColumn="1" w:lastColumn="0" w:noHBand="0" w:noVBand="1"/>
      </w:tblPr>
      <w:tblGrid>
        <w:gridCol w:w="2689"/>
        <w:gridCol w:w="752"/>
        <w:gridCol w:w="752"/>
        <w:gridCol w:w="754"/>
        <w:gridCol w:w="754"/>
        <w:gridCol w:w="715"/>
        <w:gridCol w:w="715"/>
        <w:gridCol w:w="721"/>
        <w:gridCol w:w="721"/>
        <w:gridCol w:w="1499"/>
      </w:tblGrid>
      <w:tr w:rsidR="00976FC7" w:rsidRPr="000227BE" w14:paraId="5C65A755" w14:textId="77777777" w:rsidTr="0069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93D07C" w:themeColor="accent1" w:themeTint="99"/>
            </w:tcBorders>
          </w:tcPr>
          <w:p w14:paraId="0AE650D2" w14:textId="77777777" w:rsidR="00976FC7" w:rsidRPr="00E008AB" w:rsidRDefault="00976FC7" w:rsidP="006974C0">
            <w:pPr>
              <w:jc w:val="left"/>
              <w:rPr>
                <w:rFonts w:ascii="Arial" w:eastAsia="Times New Roman" w:hAnsi="Arial" w:cs="Arial"/>
                <w:sz w:val="20"/>
                <w:lang w:val="fr-FR" w:eastAsia="fr-FR"/>
              </w:rPr>
            </w:pPr>
            <w:bookmarkStart w:id="1" w:name="_Hlk126933898"/>
            <w:r w:rsidRPr="00E008AB">
              <w:rPr>
                <w:rFonts w:ascii="Arial" w:eastAsia="Times New Roman" w:hAnsi="Arial" w:cs="Arial"/>
                <w:sz w:val="20"/>
                <w:lang w:val="fr-FR" w:eastAsia="fr-FR"/>
              </w:rPr>
              <w:t>Production (En 1.000 tonnes arrondi à 10.000 t)</w:t>
            </w:r>
          </w:p>
        </w:tc>
        <w:tc>
          <w:tcPr>
            <w:tcW w:w="752" w:type="dxa"/>
            <w:tcBorders>
              <w:left w:val="single" w:sz="4" w:space="0" w:color="93D07C" w:themeColor="accent1" w:themeTint="99"/>
              <w:right w:val="single" w:sz="4" w:space="0" w:color="93D07C" w:themeColor="accent1" w:themeTint="99"/>
            </w:tcBorders>
            <w:vAlign w:val="center"/>
          </w:tcPr>
          <w:p w14:paraId="40B73E9D"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2016</w:t>
            </w:r>
          </w:p>
        </w:tc>
        <w:tc>
          <w:tcPr>
            <w:tcW w:w="752" w:type="dxa"/>
            <w:tcBorders>
              <w:left w:val="single" w:sz="4" w:space="0" w:color="93D07C" w:themeColor="accent1" w:themeTint="99"/>
              <w:right w:val="single" w:sz="4" w:space="0" w:color="93D07C" w:themeColor="accent1" w:themeTint="99"/>
            </w:tcBorders>
            <w:vAlign w:val="center"/>
          </w:tcPr>
          <w:p w14:paraId="50E9DAF6"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2017</w:t>
            </w:r>
          </w:p>
        </w:tc>
        <w:tc>
          <w:tcPr>
            <w:tcW w:w="754" w:type="dxa"/>
            <w:tcBorders>
              <w:left w:val="single" w:sz="4" w:space="0" w:color="93D07C" w:themeColor="accent1" w:themeTint="99"/>
              <w:right w:val="single" w:sz="4" w:space="0" w:color="93D07C" w:themeColor="accent1" w:themeTint="99"/>
            </w:tcBorders>
            <w:vAlign w:val="center"/>
          </w:tcPr>
          <w:p w14:paraId="3681E59C"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2018</w:t>
            </w:r>
          </w:p>
        </w:tc>
        <w:tc>
          <w:tcPr>
            <w:tcW w:w="754" w:type="dxa"/>
            <w:tcBorders>
              <w:left w:val="single" w:sz="4" w:space="0" w:color="93D07C" w:themeColor="accent1" w:themeTint="99"/>
              <w:right w:val="single" w:sz="4" w:space="0" w:color="93D07C" w:themeColor="accent1" w:themeTint="99"/>
            </w:tcBorders>
            <w:vAlign w:val="center"/>
          </w:tcPr>
          <w:p w14:paraId="30526E22"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2019</w:t>
            </w:r>
          </w:p>
        </w:tc>
        <w:tc>
          <w:tcPr>
            <w:tcW w:w="715" w:type="dxa"/>
            <w:tcBorders>
              <w:left w:val="single" w:sz="4" w:space="0" w:color="93D07C" w:themeColor="accent1" w:themeTint="99"/>
              <w:right w:val="single" w:sz="4" w:space="0" w:color="93D07C" w:themeColor="accent1" w:themeTint="99"/>
            </w:tcBorders>
            <w:vAlign w:val="center"/>
          </w:tcPr>
          <w:p w14:paraId="6557EDBC"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2020</w:t>
            </w:r>
          </w:p>
        </w:tc>
        <w:tc>
          <w:tcPr>
            <w:tcW w:w="715" w:type="dxa"/>
            <w:tcBorders>
              <w:left w:val="single" w:sz="4" w:space="0" w:color="93D07C" w:themeColor="accent1" w:themeTint="99"/>
              <w:right w:val="single" w:sz="4" w:space="0" w:color="93D07C" w:themeColor="accent1" w:themeTint="99"/>
            </w:tcBorders>
            <w:vAlign w:val="center"/>
          </w:tcPr>
          <w:p w14:paraId="794827E6" w14:textId="77777777" w:rsidR="00976FC7" w:rsidRPr="00D33B08" w:rsidRDefault="00976FC7" w:rsidP="006974C0">
            <w:pPr>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2021</w:t>
            </w:r>
          </w:p>
        </w:tc>
        <w:tc>
          <w:tcPr>
            <w:tcW w:w="721" w:type="dxa"/>
            <w:tcBorders>
              <w:left w:val="single" w:sz="4" w:space="0" w:color="93D07C" w:themeColor="accent1" w:themeTint="99"/>
              <w:right w:val="single" w:sz="4" w:space="0" w:color="93D07C" w:themeColor="accent1" w:themeTint="99"/>
            </w:tcBorders>
            <w:vAlign w:val="center"/>
          </w:tcPr>
          <w:p w14:paraId="602FA441" w14:textId="77777777" w:rsidR="00976FC7" w:rsidRPr="00D33B08" w:rsidRDefault="00976FC7" w:rsidP="006974C0">
            <w:pPr>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2022</w:t>
            </w:r>
          </w:p>
        </w:tc>
        <w:tc>
          <w:tcPr>
            <w:tcW w:w="721" w:type="dxa"/>
            <w:tcBorders>
              <w:left w:val="single" w:sz="4" w:space="0" w:color="93D07C" w:themeColor="accent1" w:themeTint="99"/>
              <w:right w:val="single" w:sz="4" w:space="0" w:color="93D07C" w:themeColor="accent1" w:themeTint="99"/>
            </w:tcBorders>
            <w:vAlign w:val="center"/>
          </w:tcPr>
          <w:p w14:paraId="1EBD3BA4" w14:textId="77777777" w:rsidR="00976FC7" w:rsidRPr="00D33B08" w:rsidRDefault="00976FC7" w:rsidP="006974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2023</w:t>
            </w:r>
          </w:p>
        </w:tc>
        <w:tc>
          <w:tcPr>
            <w:tcW w:w="1499" w:type="dxa"/>
            <w:tcBorders>
              <w:left w:val="single" w:sz="4" w:space="0" w:color="93D07C" w:themeColor="accent1" w:themeTint="99"/>
            </w:tcBorders>
            <w:vAlign w:val="center"/>
          </w:tcPr>
          <w:p w14:paraId="5CA5B6E0" w14:textId="77777777" w:rsidR="00976FC7" w:rsidRPr="00D33B08" w:rsidRDefault="00976FC7" w:rsidP="006974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Evolution 2023 vs 2022</w:t>
            </w:r>
          </w:p>
        </w:tc>
      </w:tr>
      <w:tr w:rsidR="00976FC7" w:rsidRPr="000227BE" w14:paraId="470ED8B1"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2D160AA"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Bintje</w:t>
            </w:r>
          </w:p>
        </w:tc>
        <w:tc>
          <w:tcPr>
            <w:tcW w:w="752" w:type="dxa"/>
            <w:vAlign w:val="center"/>
          </w:tcPr>
          <w:p w14:paraId="75762C1A"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1.070</w:t>
            </w:r>
          </w:p>
        </w:tc>
        <w:tc>
          <w:tcPr>
            <w:tcW w:w="752" w:type="dxa"/>
            <w:vAlign w:val="center"/>
          </w:tcPr>
          <w:p w14:paraId="5186D330"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1.180</w:t>
            </w:r>
          </w:p>
        </w:tc>
        <w:tc>
          <w:tcPr>
            <w:tcW w:w="754" w:type="dxa"/>
            <w:vAlign w:val="center"/>
          </w:tcPr>
          <w:p w14:paraId="3C60A816"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570</w:t>
            </w:r>
          </w:p>
        </w:tc>
        <w:tc>
          <w:tcPr>
            <w:tcW w:w="754" w:type="dxa"/>
            <w:vAlign w:val="center"/>
          </w:tcPr>
          <w:p w14:paraId="631D310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400</w:t>
            </w:r>
          </w:p>
        </w:tc>
        <w:tc>
          <w:tcPr>
            <w:tcW w:w="715" w:type="dxa"/>
            <w:vAlign w:val="center"/>
          </w:tcPr>
          <w:p w14:paraId="71EFB07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280</w:t>
            </w:r>
          </w:p>
        </w:tc>
        <w:tc>
          <w:tcPr>
            <w:tcW w:w="715" w:type="dxa"/>
            <w:vAlign w:val="center"/>
          </w:tcPr>
          <w:p w14:paraId="1352936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210</w:t>
            </w:r>
          </w:p>
        </w:tc>
        <w:tc>
          <w:tcPr>
            <w:tcW w:w="721" w:type="dxa"/>
            <w:vAlign w:val="center"/>
          </w:tcPr>
          <w:p w14:paraId="61EE017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150</w:t>
            </w:r>
          </w:p>
        </w:tc>
        <w:tc>
          <w:tcPr>
            <w:tcW w:w="721" w:type="dxa"/>
            <w:vAlign w:val="center"/>
          </w:tcPr>
          <w:p w14:paraId="02BB997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160</w:t>
            </w:r>
          </w:p>
        </w:tc>
        <w:tc>
          <w:tcPr>
            <w:tcW w:w="1499" w:type="dxa"/>
            <w:vAlign w:val="center"/>
          </w:tcPr>
          <w:p w14:paraId="71FB0C2C"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6,7 %</w:t>
            </w:r>
          </w:p>
        </w:tc>
      </w:tr>
      <w:tr w:rsidR="00976FC7" w:rsidRPr="000227BE" w14:paraId="70461F7A"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F9BCDA7"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Challenger</w:t>
            </w:r>
          </w:p>
        </w:tc>
        <w:tc>
          <w:tcPr>
            <w:tcW w:w="752" w:type="dxa"/>
            <w:vAlign w:val="center"/>
          </w:tcPr>
          <w:p w14:paraId="372D40DB"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320</w:t>
            </w:r>
          </w:p>
        </w:tc>
        <w:tc>
          <w:tcPr>
            <w:tcW w:w="752" w:type="dxa"/>
            <w:vAlign w:val="center"/>
          </w:tcPr>
          <w:p w14:paraId="5E1DEC72"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390</w:t>
            </w:r>
          </w:p>
        </w:tc>
        <w:tc>
          <w:tcPr>
            <w:tcW w:w="754" w:type="dxa"/>
            <w:vAlign w:val="center"/>
          </w:tcPr>
          <w:p w14:paraId="3D04B7EB"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340</w:t>
            </w:r>
          </w:p>
        </w:tc>
        <w:tc>
          <w:tcPr>
            <w:tcW w:w="754" w:type="dxa"/>
            <w:vAlign w:val="center"/>
          </w:tcPr>
          <w:p w14:paraId="7910786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550</w:t>
            </w:r>
          </w:p>
        </w:tc>
        <w:tc>
          <w:tcPr>
            <w:tcW w:w="715" w:type="dxa"/>
            <w:vAlign w:val="center"/>
          </w:tcPr>
          <w:p w14:paraId="07E8E76F"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380</w:t>
            </w:r>
          </w:p>
        </w:tc>
        <w:tc>
          <w:tcPr>
            <w:tcW w:w="715" w:type="dxa"/>
            <w:vAlign w:val="center"/>
          </w:tcPr>
          <w:p w14:paraId="0D034E4A"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380</w:t>
            </w:r>
          </w:p>
        </w:tc>
        <w:tc>
          <w:tcPr>
            <w:tcW w:w="721" w:type="dxa"/>
            <w:vAlign w:val="center"/>
          </w:tcPr>
          <w:p w14:paraId="52DF32D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290</w:t>
            </w:r>
          </w:p>
        </w:tc>
        <w:tc>
          <w:tcPr>
            <w:tcW w:w="721" w:type="dxa"/>
            <w:vAlign w:val="center"/>
          </w:tcPr>
          <w:p w14:paraId="57AF3B26"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250</w:t>
            </w:r>
          </w:p>
        </w:tc>
        <w:tc>
          <w:tcPr>
            <w:tcW w:w="1499" w:type="dxa"/>
            <w:vAlign w:val="center"/>
          </w:tcPr>
          <w:p w14:paraId="787D0C19"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-13,8 %</w:t>
            </w:r>
          </w:p>
        </w:tc>
      </w:tr>
      <w:tr w:rsidR="00976FC7" w:rsidRPr="000227BE" w14:paraId="36378F27"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D328A06"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Fontane</w:t>
            </w:r>
          </w:p>
        </w:tc>
        <w:tc>
          <w:tcPr>
            <w:tcW w:w="752" w:type="dxa"/>
            <w:vAlign w:val="center"/>
          </w:tcPr>
          <w:p w14:paraId="26E5E804"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1.030</w:t>
            </w:r>
          </w:p>
        </w:tc>
        <w:tc>
          <w:tcPr>
            <w:tcW w:w="752" w:type="dxa"/>
            <w:vAlign w:val="center"/>
          </w:tcPr>
          <w:p w14:paraId="5D02A124"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1.620</w:t>
            </w:r>
          </w:p>
        </w:tc>
        <w:tc>
          <w:tcPr>
            <w:tcW w:w="754" w:type="dxa"/>
            <w:vAlign w:val="center"/>
          </w:tcPr>
          <w:p w14:paraId="48ECCB0D"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1.390</w:t>
            </w:r>
          </w:p>
        </w:tc>
        <w:tc>
          <w:tcPr>
            <w:tcW w:w="754" w:type="dxa"/>
            <w:vAlign w:val="center"/>
          </w:tcPr>
          <w:p w14:paraId="3F369DEB"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1.810</w:t>
            </w:r>
          </w:p>
        </w:tc>
        <w:tc>
          <w:tcPr>
            <w:tcW w:w="715" w:type="dxa"/>
            <w:vAlign w:val="center"/>
          </w:tcPr>
          <w:p w14:paraId="2D55254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2.220</w:t>
            </w:r>
          </w:p>
        </w:tc>
        <w:tc>
          <w:tcPr>
            <w:tcW w:w="715" w:type="dxa"/>
            <w:vAlign w:val="center"/>
          </w:tcPr>
          <w:p w14:paraId="3684C826"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2.200</w:t>
            </w:r>
          </w:p>
        </w:tc>
        <w:tc>
          <w:tcPr>
            <w:tcW w:w="721" w:type="dxa"/>
            <w:vAlign w:val="center"/>
          </w:tcPr>
          <w:p w14:paraId="1EFF3718"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2.130</w:t>
            </w:r>
          </w:p>
        </w:tc>
        <w:tc>
          <w:tcPr>
            <w:tcW w:w="721" w:type="dxa"/>
            <w:vAlign w:val="center"/>
          </w:tcPr>
          <w:p w14:paraId="3FF14CA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2.560</w:t>
            </w:r>
          </w:p>
        </w:tc>
        <w:tc>
          <w:tcPr>
            <w:tcW w:w="1499" w:type="dxa"/>
            <w:vAlign w:val="center"/>
          </w:tcPr>
          <w:p w14:paraId="2716F166"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20,2 %</w:t>
            </w:r>
          </w:p>
        </w:tc>
      </w:tr>
      <w:tr w:rsidR="00976FC7" w:rsidRPr="000227BE" w14:paraId="47BC4BE1"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C7B8E62"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Innovator</w:t>
            </w:r>
          </w:p>
        </w:tc>
        <w:tc>
          <w:tcPr>
            <w:tcW w:w="752" w:type="dxa"/>
            <w:vAlign w:val="center"/>
          </w:tcPr>
          <w:p w14:paraId="7B11F674"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450</w:t>
            </w:r>
          </w:p>
        </w:tc>
        <w:tc>
          <w:tcPr>
            <w:tcW w:w="752" w:type="dxa"/>
            <w:vAlign w:val="center"/>
          </w:tcPr>
          <w:p w14:paraId="7B28AA76"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530</w:t>
            </w:r>
          </w:p>
        </w:tc>
        <w:tc>
          <w:tcPr>
            <w:tcW w:w="754" w:type="dxa"/>
            <w:vAlign w:val="center"/>
          </w:tcPr>
          <w:p w14:paraId="6220677A"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330</w:t>
            </w:r>
          </w:p>
        </w:tc>
        <w:tc>
          <w:tcPr>
            <w:tcW w:w="754" w:type="dxa"/>
            <w:vAlign w:val="center"/>
          </w:tcPr>
          <w:p w14:paraId="102EA1D8"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460</w:t>
            </w:r>
          </w:p>
        </w:tc>
        <w:tc>
          <w:tcPr>
            <w:tcW w:w="715" w:type="dxa"/>
            <w:vAlign w:val="center"/>
          </w:tcPr>
          <w:p w14:paraId="68038BDF"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410</w:t>
            </w:r>
          </w:p>
        </w:tc>
        <w:tc>
          <w:tcPr>
            <w:tcW w:w="715" w:type="dxa"/>
            <w:vAlign w:val="center"/>
          </w:tcPr>
          <w:p w14:paraId="6B19D0E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330</w:t>
            </w:r>
          </w:p>
        </w:tc>
        <w:tc>
          <w:tcPr>
            <w:tcW w:w="721" w:type="dxa"/>
            <w:vAlign w:val="center"/>
          </w:tcPr>
          <w:p w14:paraId="586F7D5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290</w:t>
            </w:r>
          </w:p>
        </w:tc>
        <w:tc>
          <w:tcPr>
            <w:tcW w:w="721" w:type="dxa"/>
            <w:vAlign w:val="center"/>
          </w:tcPr>
          <w:p w14:paraId="48293E0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300</w:t>
            </w:r>
          </w:p>
        </w:tc>
        <w:tc>
          <w:tcPr>
            <w:tcW w:w="1499" w:type="dxa"/>
            <w:vAlign w:val="center"/>
          </w:tcPr>
          <w:p w14:paraId="713CE22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3,4 %</w:t>
            </w:r>
          </w:p>
        </w:tc>
      </w:tr>
      <w:tr w:rsidR="00976FC7" w:rsidRPr="000227BE" w14:paraId="10BF021F"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DB7D79F"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Autres variétés</w:t>
            </w:r>
          </w:p>
        </w:tc>
        <w:tc>
          <w:tcPr>
            <w:tcW w:w="752" w:type="dxa"/>
            <w:vAlign w:val="center"/>
          </w:tcPr>
          <w:p w14:paraId="30D7C348"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770</w:t>
            </w:r>
          </w:p>
        </w:tc>
        <w:tc>
          <w:tcPr>
            <w:tcW w:w="752" w:type="dxa"/>
            <w:vAlign w:val="center"/>
          </w:tcPr>
          <w:p w14:paraId="606B76CC"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950</w:t>
            </w:r>
          </w:p>
        </w:tc>
        <w:tc>
          <w:tcPr>
            <w:tcW w:w="754" w:type="dxa"/>
            <w:vAlign w:val="center"/>
          </w:tcPr>
          <w:p w14:paraId="15B9618E"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610</w:t>
            </w:r>
          </w:p>
        </w:tc>
        <w:tc>
          <w:tcPr>
            <w:tcW w:w="754" w:type="dxa"/>
            <w:vAlign w:val="center"/>
          </w:tcPr>
          <w:p w14:paraId="03E0383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840</w:t>
            </w:r>
          </w:p>
        </w:tc>
        <w:tc>
          <w:tcPr>
            <w:tcW w:w="715" w:type="dxa"/>
            <w:vAlign w:val="center"/>
          </w:tcPr>
          <w:p w14:paraId="4BD94F3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750</w:t>
            </w:r>
          </w:p>
        </w:tc>
        <w:tc>
          <w:tcPr>
            <w:tcW w:w="715" w:type="dxa"/>
            <w:vAlign w:val="center"/>
          </w:tcPr>
          <w:p w14:paraId="6AC1353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840</w:t>
            </w:r>
          </w:p>
        </w:tc>
        <w:tc>
          <w:tcPr>
            <w:tcW w:w="721" w:type="dxa"/>
            <w:vAlign w:val="center"/>
          </w:tcPr>
          <w:p w14:paraId="11237452"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850</w:t>
            </w:r>
          </w:p>
        </w:tc>
        <w:tc>
          <w:tcPr>
            <w:tcW w:w="721" w:type="dxa"/>
            <w:vAlign w:val="center"/>
          </w:tcPr>
          <w:p w14:paraId="18323280"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920</w:t>
            </w:r>
          </w:p>
        </w:tc>
        <w:tc>
          <w:tcPr>
            <w:tcW w:w="1499" w:type="dxa"/>
            <w:vAlign w:val="center"/>
          </w:tcPr>
          <w:p w14:paraId="58C821A1"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8,2 %</w:t>
            </w:r>
          </w:p>
        </w:tc>
      </w:tr>
      <w:tr w:rsidR="00976FC7" w:rsidRPr="000227BE" w14:paraId="236FB667"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shd w:val="clear" w:color="auto" w:fill="549E39" w:themeFill="accent1"/>
            <w:vAlign w:val="center"/>
          </w:tcPr>
          <w:p w14:paraId="0AC11091" w14:textId="77777777" w:rsidR="00976FC7" w:rsidRPr="00E008AB" w:rsidRDefault="00976FC7" w:rsidP="006974C0">
            <w:pPr>
              <w:ind w:right="-86"/>
              <w:jc w:val="left"/>
              <w:rPr>
                <w:rFonts w:ascii="Arial Narrow" w:eastAsia="Times New Roman" w:hAnsi="Arial Narrow" w:cs="Arial"/>
                <w:color w:val="FFFFFF" w:themeColor="background1"/>
                <w:sz w:val="20"/>
                <w:lang w:val="fr-FR" w:eastAsia="fr-FR"/>
              </w:rPr>
            </w:pPr>
            <w:r w:rsidRPr="00E008AB">
              <w:rPr>
                <w:rFonts w:ascii="Arial Narrow" w:eastAsia="Times New Roman" w:hAnsi="Arial Narrow" w:cs="Arial"/>
                <w:color w:val="FFFFFF" w:themeColor="background1"/>
                <w:sz w:val="20"/>
                <w:lang w:val="fr-FR" w:eastAsia="fr-FR"/>
              </w:rPr>
              <w:t>Total pdt conservation</w:t>
            </w:r>
          </w:p>
        </w:tc>
        <w:tc>
          <w:tcPr>
            <w:tcW w:w="752" w:type="dxa"/>
            <w:shd w:val="clear" w:color="auto" w:fill="549E39" w:themeFill="accent1"/>
            <w:vAlign w:val="center"/>
          </w:tcPr>
          <w:p w14:paraId="2BA55216"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3.640</w:t>
            </w:r>
          </w:p>
        </w:tc>
        <w:tc>
          <w:tcPr>
            <w:tcW w:w="752" w:type="dxa"/>
            <w:shd w:val="clear" w:color="auto" w:fill="549E39" w:themeFill="accent1"/>
            <w:vAlign w:val="center"/>
          </w:tcPr>
          <w:p w14:paraId="004ACD71"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4.680</w:t>
            </w:r>
          </w:p>
        </w:tc>
        <w:tc>
          <w:tcPr>
            <w:tcW w:w="754" w:type="dxa"/>
            <w:shd w:val="clear" w:color="auto" w:fill="549E39" w:themeFill="accent1"/>
            <w:vAlign w:val="center"/>
          </w:tcPr>
          <w:p w14:paraId="50B82B69"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3.240</w:t>
            </w:r>
          </w:p>
        </w:tc>
        <w:tc>
          <w:tcPr>
            <w:tcW w:w="754" w:type="dxa"/>
            <w:shd w:val="clear" w:color="auto" w:fill="549E39" w:themeFill="accent1"/>
            <w:vAlign w:val="center"/>
          </w:tcPr>
          <w:p w14:paraId="4466404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4.060</w:t>
            </w:r>
          </w:p>
        </w:tc>
        <w:tc>
          <w:tcPr>
            <w:tcW w:w="715" w:type="dxa"/>
            <w:shd w:val="clear" w:color="auto" w:fill="549E39" w:themeFill="accent1"/>
            <w:vAlign w:val="center"/>
          </w:tcPr>
          <w:p w14:paraId="21BD9414"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4.050</w:t>
            </w:r>
          </w:p>
        </w:tc>
        <w:tc>
          <w:tcPr>
            <w:tcW w:w="715" w:type="dxa"/>
            <w:shd w:val="clear" w:color="auto" w:fill="549E39" w:themeFill="accent1"/>
            <w:vAlign w:val="center"/>
          </w:tcPr>
          <w:p w14:paraId="00E68F66" w14:textId="77777777" w:rsidR="00976FC7" w:rsidRPr="00D33B08" w:rsidRDefault="00976FC7" w:rsidP="006974C0">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3.970</w:t>
            </w:r>
          </w:p>
        </w:tc>
        <w:tc>
          <w:tcPr>
            <w:tcW w:w="721" w:type="dxa"/>
            <w:shd w:val="clear" w:color="auto" w:fill="549E39" w:themeFill="accent1"/>
            <w:vAlign w:val="center"/>
          </w:tcPr>
          <w:p w14:paraId="2817DE26" w14:textId="77777777" w:rsidR="00976FC7" w:rsidRPr="00D33B08" w:rsidRDefault="00976FC7" w:rsidP="006974C0">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3.700</w:t>
            </w:r>
          </w:p>
        </w:tc>
        <w:tc>
          <w:tcPr>
            <w:tcW w:w="721" w:type="dxa"/>
            <w:shd w:val="clear" w:color="auto" w:fill="549E39" w:themeFill="accent1"/>
            <w:vAlign w:val="center"/>
          </w:tcPr>
          <w:p w14:paraId="36B22415"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0"/>
                <w:lang w:val="fr-FR" w:eastAsia="fr-FR"/>
              </w:rPr>
            </w:pPr>
            <w:r w:rsidRPr="00D33B08">
              <w:rPr>
                <w:rFonts w:eastAsia="Times New Roman" w:cs="Arial"/>
                <w:b/>
                <w:color w:val="FFFFFF" w:themeColor="background1"/>
                <w:sz w:val="20"/>
                <w:lang w:val="fr-FR" w:eastAsia="fr-FR"/>
              </w:rPr>
              <w:t>4.190</w:t>
            </w:r>
          </w:p>
        </w:tc>
        <w:tc>
          <w:tcPr>
            <w:tcW w:w="1499" w:type="dxa"/>
            <w:shd w:val="clear" w:color="auto" w:fill="549E39" w:themeFill="accent1"/>
            <w:vAlign w:val="center"/>
          </w:tcPr>
          <w:p w14:paraId="6B1F1B85"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0"/>
                <w:lang w:val="fr-FR" w:eastAsia="fr-FR"/>
              </w:rPr>
            </w:pPr>
            <w:r w:rsidRPr="00D33B08">
              <w:rPr>
                <w:rFonts w:eastAsia="Times New Roman" w:cs="Arial"/>
                <w:b/>
                <w:color w:val="FFFFFF" w:themeColor="background1"/>
                <w:sz w:val="20"/>
                <w:lang w:val="fr-FR" w:eastAsia="fr-FR"/>
              </w:rPr>
              <w:t>13,2 %</w:t>
            </w:r>
          </w:p>
        </w:tc>
      </w:tr>
      <w:bookmarkEnd w:id="1"/>
    </w:tbl>
    <w:p w14:paraId="4FED392C" w14:textId="77777777" w:rsidR="002C382C" w:rsidRDefault="002C382C" w:rsidP="00EB41BB">
      <w:pPr>
        <w:rPr>
          <w:szCs w:val="22"/>
          <w:lang w:val="nl-BE"/>
        </w:rPr>
      </w:pPr>
    </w:p>
    <w:p w14:paraId="01055EA9" w14:textId="1EAF8E27" w:rsidR="00EB41BB" w:rsidRPr="002C382C" w:rsidRDefault="002C382C" w:rsidP="00EB41BB">
      <w:pPr>
        <w:rPr>
          <w:b/>
          <w:bCs/>
          <w:szCs w:val="22"/>
          <w:highlight w:val="red"/>
          <w:lang w:val="nl-BE"/>
        </w:rPr>
        <w:sectPr w:rsidR="00EB41BB" w:rsidRPr="002C382C" w:rsidSect="0033275A">
          <w:headerReference w:type="even" r:id="rId9"/>
          <w:headerReference w:type="default" r:id="rId10"/>
          <w:footerReference w:type="default" r:id="rId11"/>
          <w:headerReference w:type="first" r:id="rId12"/>
          <w:footerReference w:type="first" r:id="rId13"/>
          <w:type w:val="continuous"/>
          <w:pgSz w:w="11906" w:h="16838" w:code="9"/>
          <w:pgMar w:top="851" w:right="851" w:bottom="1276" w:left="851" w:header="737" w:footer="57" w:gutter="0"/>
          <w:cols w:sep="1" w:space="709"/>
          <w:titlePg/>
          <w:docGrid w:linePitch="360"/>
        </w:sectPr>
      </w:pPr>
      <w:r w:rsidRPr="002C382C">
        <w:rPr>
          <w:b/>
          <w:bCs/>
          <w:szCs w:val="22"/>
          <w:lang w:val="nl-BE"/>
        </w:rPr>
        <w:t>Evolutie van de Belgische voorraden vanaf de oogst van 2023 tot 1 februari 2024</w:t>
      </w:r>
    </w:p>
    <w:p w14:paraId="16AF83CB" w14:textId="3E2538FF" w:rsidR="0050695D" w:rsidRPr="002C382C" w:rsidRDefault="0050695D">
      <w:pPr>
        <w:rPr>
          <w:b/>
          <w:color w:val="3E762A" w:themeColor="accent1" w:themeShade="BF"/>
          <w:spacing w:val="15"/>
          <w:sz w:val="4"/>
          <w:szCs w:val="4"/>
          <w:highlight w:val="red"/>
          <w:lang w:val="nl-BE"/>
        </w:rPr>
      </w:pPr>
    </w:p>
    <w:p w14:paraId="205502C2" w14:textId="3B785840" w:rsidR="00DD311C" w:rsidRPr="00EC0115" w:rsidRDefault="00DD311C" w:rsidP="00EC0115">
      <w:pPr>
        <w:pStyle w:val="Bijschrift"/>
        <w:ind w:left="993" w:hanging="993"/>
        <w:rPr>
          <w:b w:val="0"/>
          <w:bCs w:val="0"/>
          <w:lang w:val="nl-BE"/>
        </w:rPr>
      </w:pPr>
      <w:r w:rsidRPr="00EC0115">
        <w:rPr>
          <w:b w:val="0"/>
          <w:bCs w:val="0"/>
          <w:lang w:val="nl-BE"/>
        </w:rPr>
        <w:t>Op 1 februari hadden Belgische telers nog ongeveer 61% van de initiële oogst van bewaar-aardappelen (exclusief vroege aardappelen) op voorraad (alle variëteiten). Dit is lager dan de afgelopen twee jaar (66% en 64%) en vergelijkbaar met het vijfjarig gemiddelde (62%). Het vrije deel (volumes die niet onder een contract vallen) wordt geschat op 18% van de initiële productie en is hoger dan de afgelopen 3 jaar (als gevolg van betere opbrengsten). Het vijfjarig gemiddelde is 15%.</w:t>
      </w:r>
    </w:p>
    <w:p w14:paraId="3F8DCD14" w14:textId="77777777" w:rsidR="00EC0115" w:rsidRPr="007271FF" w:rsidRDefault="00DD311C" w:rsidP="00EC0115">
      <w:pPr>
        <w:pStyle w:val="Bijschrift"/>
        <w:ind w:left="993" w:hanging="993"/>
        <w:rPr>
          <w:b w:val="0"/>
          <w:bCs w:val="0"/>
          <w:lang w:val="nl-BE"/>
        </w:rPr>
      </w:pPr>
      <w:r w:rsidRPr="00EC0115">
        <w:rPr>
          <w:b w:val="0"/>
          <w:bCs w:val="0"/>
          <w:lang w:val="nl-BE"/>
        </w:rPr>
        <w:t xml:space="preserve">Meer dan 70% van de initiële </w:t>
      </w:r>
      <w:proofErr w:type="spellStart"/>
      <w:r w:rsidRPr="00EC0115">
        <w:rPr>
          <w:b w:val="0"/>
          <w:bCs w:val="0"/>
          <w:lang w:val="nl-BE"/>
        </w:rPr>
        <w:t>Fontane</w:t>
      </w:r>
      <w:proofErr w:type="spellEnd"/>
      <w:r w:rsidRPr="00EC0115">
        <w:rPr>
          <w:b w:val="0"/>
          <w:bCs w:val="0"/>
          <w:lang w:val="nl-BE"/>
        </w:rPr>
        <w:t xml:space="preserve">-productie is nog steeds op voorraad (zeer vergelijkbaar met de afgelopen 5 jaar (72%)), ongeveer 34% voor </w:t>
      </w:r>
      <w:proofErr w:type="spellStart"/>
      <w:r w:rsidRPr="00EC0115">
        <w:rPr>
          <w:b w:val="0"/>
          <w:bCs w:val="0"/>
          <w:lang w:val="nl-BE"/>
        </w:rPr>
        <w:t>Challenger</w:t>
      </w:r>
      <w:proofErr w:type="spellEnd"/>
      <w:r w:rsidRPr="00EC0115">
        <w:rPr>
          <w:b w:val="0"/>
          <w:bCs w:val="0"/>
          <w:lang w:val="nl-BE"/>
        </w:rPr>
        <w:t xml:space="preserve"> (minder dan alle recente jaren die varieerden tussen 38% en 51%), en ongeveer 56% voor Bintje. </w:t>
      </w:r>
      <w:r w:rsidRPr="007271FF">
        <w:rPr>
          <w:b w:val="0"/>
          <w:bCs w:val="0"/>
          <w:lang w:val="nl-BE"/>
        </w:rPr>
        <w:t>De voorraad Innovator lijkt zeer laag te zijn met slechts 21% van de initiële productie.</w:t>
      </w:r>
    </w:p>
    <w:p w14:paraId="53A87AF5" w14:textId="383D048B" w:rsidR="00751EFA" w:rsidRPr="001A121A" w:rsidRDefault="001A121A" w:rsidP="00EC0115">
      <w:pPr>
        <w:pStyle w:val="Bijschrift"/>
        <w:ind w:left="993" w:hanging="993"/>
        <w:rPr>
          <w:b w:val="0"/>
          <w:bCs w:val="0"/>
          <w:i/>
          <w:iCs/>
          <w:lang w:val="nl-BE"/>
        </w:rPr>
      </w:pPr>
      <w:r w:rsidRPr="001A121A">
        <w:rPr>
          <w:b w:val="0"/>
          <w:bCs w:val="0"/>
          <w:i/>
          <w:iCs/>
          <w:lang w:val="nl-BE"/>
        </w:rPr>
        <w:t>Tabel 1: Overzicht van de evolutie van de voorraden in België van de oogst van 2023 (steekproef: 128 producenten in Vlaanderen + 94 producenten in Wallonië): als percentage van de initiële productie van bewaarvariëteiten (exclusief vroege oogst)</w:t>
      </w:r>
    </w:p>
    <w:tbl>
      <w:tblPr>
        <w:tblStyle w:val="Rastertabel4-Accent1"/>
        <w:tblW w:w="13011" w:type="dxa"/>
        <w:tblLook w:val="04A0" w:firstRow="1" w:lastRow="0" w:firstColumn="1" w:lastColumn="0" w:noHBand="0" w:noVBand="1"/>
      </w:tblPr>
      <w:tblGrid>
        <w:gridCol w:w="3962"/>
        <w:gridCol w:w="874"/>
        <w:gridCol w:w="969"/>
        <w:gridCol w:w="1213"/>
        <w:gridCol w:w="992"/>
        <w:gridCol w:w="992"/>
        <w:gridCol w:w="916"/>
        <w:gridCol w:w="3093"/>
      </w:tblGrid>
      <w:tr w:rsidR="00751EFA" w:rsidRPr="000227BE" w14:paraId="1CD63ADF" w14:textId="77777777" w:rsidTr="006974C0">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3962" w:type="dxa"/>
            <w:tcBorders>
              <w:right w:val="single" w:sz="4" w:space="0" w:color="DAEFD3" w:themeColor="accent1" w:themeTint="33"/>
            </w:tcBorders>
            <w:vAlign w:val="center"/>
          </w:tcPr>
          <w:p w14:paraId="0181F5BB" w14:textId="77777777" w:rsidR="00751EFA" w:rsidRPr="00B13C3E" w:rsidRDefault="00751EFA" w:rsidP="006974C0">
            <w:pPr>
              <w:rPr>
                <w:b w:val="0"/>
                <w:sz w:val="18"/>
                <w:szCs w:val="18"/>
              </w:rPr>
            </w:pPr>
            <w:r w:rsidRPr="00B13C3E">
              <w:rPr>
                <w:rFonts w:ascii="Arial" w:hAnsi="Arial" w:cs="Arial"/>
                <w:i/>
                <w:iCs/>
                <w:sz w:val="18"/>
                <w:szCs w:val="18"/>
              </w:rPr>
              <w:lastRenderedPageBreak/>
              <w:t>Belgique</w:t>
            </w:r>
          </w:p>
        </w:tc>
        <w:tc>
          <w:tcPr>
            <w:tcW w:w="874" w:type="dxa"/>
            <w:tcBorders>
              <w:left w:val="single" w:sz="4" w:space="0" w:color="DAEFD3" w:themeColor="accent1" w:themeTint="33"/>
              <w:right w:val="single" w:sz="4" w:space="0" w:color="DAEFD3" w:themeColor="accent1" w:themeTint="33"/>
            </w:tcBorders>
            <w:vAlign w:val="center"/>
          </w:tcPr>
          <w:p w14:paraId="71BCA98C" w14:textId="77777777" w:rsidR="00751EFA" w:rsidRPr="00B13C3E" w:rsidRDefault="00751EFA" w:rsidP="006974C0">
            <w:pPr>
              <w:ind w:left="-84" w:right="-1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13C3E">
              <w:rPr>
                <w:rFonts w:ascii="Arial" w:hAnsi="Arial" w:cs="Arial"/>
                <w:sz w:val="18"/>
                <w:szCs w:val="18"/>
              </w:rPr>
              <w:t>Toutes variétés</w:t>
            </w:r>
          </w:p>
        </w:tc>
        <w:tc>
          <w:tcPr>
            <w:tcW w:w="969" w:type="dxa"/>
            <w:tcBorders>
              <w:left w:val="single" w:sz="4" w:space="0" w:color="DAEFD3" w:themeColor="accent1" w:themeTint="33"/>
              <w:right w:val="single" w:sz="4" w:space="0" w:color="DAEFD3" w:themeColor="accent1" w:themeTint="33"/>
            </w:tcBorders>
            <w:vAlign w:val="center"/>
          </w:tcPr>
          <w:p w14:paraId="6DC15CEA" w14:textId="77777777" w:rsidR="00751EFA" w:rsidRPr="00E008AB" w:rsidRDefault="00751EFA" w:rsidP="006974C0">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Bintje</w:t>
            </w:r>
          </w:p>
        </w:tc>
        <w:tc>
          <w:tcPr>
            <w:tcW w:w="1213" w:type="dxa"/>
            <w:tcBorders>
              <w:left w:val="single" w:sz="4" w:space="0" w:color="DAEFD3" w:themeColor="accent1" w:themeTint="33"/>
              <w:right w:val="single" w:sz="4" w:space="0" w:color="DAEFD3" w:themeColor="accent1" w:themeTint="33"/>
            </w:tcBorders>
            <w:vAlign w:val="center"/>
          </w:tcPr>
          <w:p w14:paraId="2E166888" w14:textId="77777777" w:rsidR="00751EFA" w:rsidRPr="000227BE" w:rsidRDefault="00751EFA" w:rsidP="006974C0">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highlight w:val="red"/>
              </w:rPr>
            </w:pPr>
            <w:r w:rsidRPr="00E008AB">
              <w:rPr>
                <w:rFonts w:ascii="Arial" w:hAnsi="Arial" w:cs="Arial"/>
                <w:sz w:val="18"/>
                <w:szCs w:val="18"/>
              </w:rPr>
              <w:t>Challenger</w:t>
            </w:r>
          </w:p>
        </w:tc>
        <w:tc>
          <w:tcPr>
            <w:tcW w:w="992" w:type="dxa"/>
            <w:tcBorders>
              <w:left w:val="single" w:sz="4" w:space="0" w:color="DAEFD3" w:themeColor="accent1" w:themeTint="33"/>
              <w:right w:val="single" w:sz="4" w:space="0" w:color="DAEFD3" w:themeColor="accent1" w:themeTint="33"/>
            </w:tcBorders>
            <w:vAlign w:val="center"/>
          </w:tcPr>
          <w:p w14:paraId="2CB4F60F" w14:textId="77777777" w:rsidR="00751EFA" w:rsidRPr="00E008AB" w:rsidRDefault="00751EFA" w:rsidP="006974C0">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Fontane</w:t>
            </w:r>
          </w:p>
        </w:tc>
        <w:tc>
          <w:tcPr>
            <w:tcW w:w="992" w:type="dxa"/>
            <w:tcBorders>
              <w:left w:val="single" w:sz="4" w:space="0" w:color="DAEFD3" w:themeColor="accent1" w:themeTint="33"/>
              <w:right w:val="single" w:sz="4" w:space="0" w:color="DAEFD3" w:themeColor="accent1" w:themeTint="33"/>
            </w:tcBorders>
            <w:vAlign w:val="center"/>
          </w:tcPr>
          <w:p w14:paraId="35507052" w14:textId="77777777" w:rsidR="00751EFA" w:rsidRPr="00E008AB" w:rsidRDefault="00751EFA" w:rsidP="006974C0">
            <w:pPr>
              <w:ind w:left="-138"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Innovator</w:t>
            </w:r>
          </w:p>
        </w:tc>
        <w:tc>
          <w:tcPr>
            <w:tcW w:w="916" w:type="dxa"/>
            <w:tcBorders>
              <w:left w:val="single" w:sz="4" w:space="0" w:color="DAEFD3" w:themeColor="accent1" w:themeTint="33"/>
            </w:tcBorders>
            <w:vAlign w:val="center"/>
          </w:tcPr>
          <w:p w14:paraId="69F1CF94" w14:textId="77777777" w:rsidR="00751EFA" w:rsidRPr="00E008AB" w:rsidRDefault="00751EFA" w:rsidP="006974C0">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008AB">
              <w:rPr>
                <w:rFonts w:ascii="Arial" w:hAnsi="Arial" w:cs="Arial"/>
                <w:sz w:val="18"/>
                <w:szCs w:val="18"/>
              </w:rPr>
              <w:t xml:space="preserve">Autres </w:t>
            </w:r>
          </w:p>
          <w:p w14:paraId="7CB56024" w14:textId="77777777" w:rsidR="00751EFA" w:rsidRPr="00E008AB" w:rsidRDefault="00751EFA" w:rsidP="006974C0">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variétés</w:t>
            </w:r>
          </w:p>
        </w:tc>
        <w:tc>
          <w:tcPr>
            <w:tcW w:w="3093" w:type="dxa"/>
            <w:vMerge w:val="restart"/>
            <w:tcBorders>
              <w:top w:val="nil"/>
              <w:bottom w:val="nil"/>
              <w:right w:val="nil"/>
            </w:tcBorders>
            <w:shd w:val="clear" w:color="auto" w:fill="FFFFFF" w:themeFill="background1"/>
          </w:tcPr>
          <w:p w14:paraId="55363D30" w14:textId="77777777" w:rsidR="00751EFA" w:rsidRPr="000227BE" w:rsidRDefault="00751EFA" w:rsidP="006974C0">
            <w:pPr>
              <w:cnfStyle w:val="100000000000" w:firstRow="1" w:lastRow="0" w:firstColumn="0" w:lastColumn="0" w:oddVBand="0" w:evenVBand="0" w:oddHBand="0" w:evenHBand="0" w:firstRowFirstColumn="0" w:firstRowLastColumn="0" w:lastRowFirstColumn="0" w:lastRowLastColumn="0"/>
              <w:rPr>
                <w:b w:val="0"/>
                <w:highlight w:val="red"/>
              </w:rPr>
            </w:pPr>
          </w:p>
        </w:tc>
      </w:tr>
      <w:tr w:rsidR="00751EFA" w:rsidRPr="000227BE" w14:paraId="0F33ED97"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619D4E15" w14:textId="77777777" w:rsidR="00751EFA" w:rsidRPr="00B13C3E" w:rsidRDefault="00751EFA" w:rsidP="006974C0">
            <w:pPr>
              <w:rPr>
                <w:b w:val="0"/>
                <w:color w:val="2A4F1C" w:themeColor="accent1" w:themeShade="80"/>
                <w:sz w:val="20"/>
              </w:rPr>
            </w:pPr>
            <w:bookmarkStart w:id="2" w:name="_Hlk94878699"/>
            <w:r w:rsidRPr="00B13C3E">
              <w:rPr>
                <w:rFonts w:ascii="Arial Narrow" w:hAnsi="Arial Narrow"/>
                <w:sz w:val="20"/>
              </w:rPr>
              <w:t>Surface emblavée en 2023 (ha)</w:t>
            </w:r>
          </w:p>
        </w:tc>
        <w:tc>
          <w:tcPr>
            <w:tcW w:w="874" w:type="dxa"/>
            <w:vAlign w:val="center"/>
          </w:tcPr>
          <w:p w14:paraId="6AC969F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90.104</w:t>
            </w:r>
          </w:p>
        </w:tc>
        <w:tc>
          <w:tcPr>
            <w:tcW w:w="969" w:type="dxa"/>
            <w:vAlign w:val="center"/>
          </w:tcPr>
          <w:p w14:paraId="4BF44AD4"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3.617</w:t>
            </w:r>
          </w:p>
        </w:tc>
        <w:tc>
          <w:tcPr>
            <w:tcW w:w="1213" w:type="dxa"/>
          </w:tcPr>
          <w:p w14:paraId="75E79622"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5.298</w:t>
            </w:r>
          </w:p>
        </w:tc>
        <w:tc>
          <w:tcPr>
            <w:tcW w:w="992" w:type="dxa"/>
          </w:tcPr>
          <w:p w14:paraId="50777E80"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53.622</w:t>
            </w:r>
          </w:p>
        </w:tc>
        <w:tc>
          <w:tcPr>
            <w:tcW w:w="992" w:type="dxa"/>
          </w:tcPr>
          <w:p w14:paraId="133CE0ED"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6.189</w:t>
            </w:r>
          </w:p>
        </w:tc>
        <w:tc>
          <w:tcPr>
            <w:tcW w:w="916" w:type="dxa"/>
            <w:vAlign w:val="center"/>
          </w:tcPr>
          <w:p w14:paraId="218D9135"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21.377</w:t>
            </w:r>
          </w:p>
        </w:tc>
        <w:tc>
          <w:tcPr>
            <w:tcW w:w="3093" w:type="dxa"/>
            <w:vMerge/>
            <w:tcBorders>
              <w:top w:val="single" w:sz="4" w:space="0" w:color="auto"/>
              <w:bottom w:val="nil"/>
              <w:right w:val="nil"/>
            </w:tcBorders>
            <w:shd w:val="clear" w:color="auto" w:fill="FFFFFF" w:themeFill="background1"/>
          </w:tcPr>
          <w:p w14:paraId="4F085F11"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bookmarkEnd w:id="2"/>
      <w:tr w:rsidR="00751EFA" w:rsidRPr="000227BE" w14:paraId="60CE3110"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562E683C" w14:textId="77777777" w:rsidR="00751EFA" w:rsidRPr="00B13C3E" w:rsidRDefault="00751EFA" w:rsidP="006974C0">
            <w:pPr>
              <w:rPr>
                <w:b w:val="0"/>
                <w:color w:val="2A4F1C" w:themeColor="accent1" w:themeShade="80"/>
                <w:sz w:val="20"/>
              </w:rPr>
            </w:pPr>
            <w:r w:rsidRPr="00B13C3E">
              <w:rPr>
                <w:rFonts w:ascii="Arial Narrow" w:hAnsi="Arial Narrow"/>
                <w:sz w:val="20"/>
              </w:rPr>
              <w:t>Livré départ champ</w:t>
            </w:r>
          </w:p>
        </w:tc>
        <w:tc>
          <w:tcPr>
            <w:tcW w:w="874" w:type="dxa"/>
            <w:vAlign w:val="center"/>
          </w:tcPr>
          <w:p w14:paraId="4D61B058" w14:textId="77777777" w:rsidR="00751EFA" w:rsidRPr="00B13C3E"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13,2 %</w:t>
            </w:r>
          </w:p>
        </w:tc>
        <w:tc>
          <w:tcPr>
            <w:tcW w:w="969" w:type="dxa"/>
            <w:vAlign w:val="center"/>
          </w:tcPr>
          <w:p w14:paraId="37B7050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11,3 %</w:t>
            </w:r>
          </w:p>
        </w:tc>
        <w:tc>
          <w:tcPr>
            <w:tcW w:w="1213" w:type="dxa"/>
          </w:tcPr>
          <w:p w14:paraId="0349787A"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22,0 %</w:t>
            </w:r>
          </w:p>
        </w:tc>
        <w:tc>
          <w:tcPr>
            <w:tcW w:w="992" w:type="dxa"/>
          </w:tcPr>
          <w:p w14:paraId="349F8F00"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9,3 %</w:t>
            </w:r>
          </w:p>
        </w:tc>
        <w:tc>
          <w:tcPr>
            <w:tcW w:w="992" w:type="dxa"/>
          </w:tcPr>
          <w:p w14:paraId="683DD30F"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20,4 %</w:t>
            </w:r>
          </w:p>
        </w:tc>
        <w:tc>
          <w:tcPr>
            <w:tcW w:w="916" w:type="dxa"/>
            <w:vAlign w:val="center"/>
          </w:tcPr>
          <w:p w14:paraId="26D6D20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21,4 %</w:t>
            </w:r>
          </w:p>
        </w:tc>
        <w:tc>
          <w:tcPr>
            <w:tcW w:w="3093" w:type="dxa"/>
            <w:vMerge/>
            <w:tcBorders>
              <w:top w:val="single" w:sz="4" w:space="0" w:color="auto"/>
              <w:bottom w:val="nil"/>
              <w:right w:val="nil"/>
            </w:tcBorders>
            <w:shd w:val="clear" w:color="auto" w:fill="FFFFFF" w:themeFill="background1"/>
          </w:tcPr>
          <w:p w14:paraId="1A44E9E8"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11BF4726"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613D0D19" w14:textId="77777777" w:rsidR="00751EFA" w:rsidRPr="00B13C3E" w:rsidRDefault="00751EFA" w:rsidP="006974C0">
            <w:pPr>
              <w:rPr>
                <w:b w:val="0"/>
                <w:color w:val="2A4F1C" w:themeColor="accent1" w:themeShade="80"/>
                <w:sz w:val="20"/>
              </w:rPr>
            </w:pPr>
            <w:r w:rsidRPr="00B13C3E">
              <w:rPr>
                <w:rFonts w:ascii="Arial Narrow" w:hAnsi="Arial Narrow"/>
                <w:sz w:val="20"/>
              </w:rPr>
              <w:t>Livré entre récolte et 15 novembre 2023</w:t>
            </w:r>
          </w:p>
        </w:tc>
        <w:tc>
          <w:tcPr>
            <w:tcW w:w="874" w:type="dxa"/>
            <w:vAlign w:val="center"/>
          </w:tcPr>
          <w:p w14:paraId="7E2C738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7,0 %</w:t>
            </w:r>
          </w:p>
        </w:tc>
        <w:tc>
          <w:tcPr>
            <w:tcW w:w="969" w:type="dxa"/>
            <w:vAlign w:val="center"/>
          </w:tcPr>
          <w:p w14:paraId="0A5A4258"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16,5 %</w:t>
            </w:r>
          </w:p>
        </w:tc>
        <w:tc>
          <w:tcPr>
            <w:tcW w:w="1213" w:type="dxa"/>
          </w:tcPr>
          <w:p w14:paraId="43AFD42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6,0 %</w:t>
            </w:r>
          </w:p>
        </w:tc>
        <w:tc>
          <w:tcPr>
            <w:tcW w:w="992" w:type="dxa"/>
          </w:tcPr>
          <w:p w14:paraId="4B6AC01F"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5,0 %</w:t>
            </w:r>
          </w:p>
        </w:tc>
        <w:tc>
          <w:tcPr>
            <w:tcW w:w="992" w:type="dxa"/>
          </w:tcPr>
          <w:p w14:paraId="59594AF0"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20,4 %</w:t>
            </w:r>
          </w:p>
        </w:tc>
        <w:tc>
          <w:tcPr>
            <w:tcW w:w="916" w:type="dxa"/>
            <w:vAlign w:val="center"/>
          </w:tcPr>
          <w:p w14:paraId="519CC5AF"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7,7 %</w:t>
            </w:r>
          </w:p>
        </w:tc>
        <w:tc>
          <w:tcPr>
            <w:tcW w:w="3093" w:type="dxa"/>
            <w:vMerge/>
            <w:tcBorders>
              <w:top w:val="single" w:sz="4" w:space="0" w:color="auto"/>
              <w:bottom w:val="nil"/>
              <w:right w:val="nil"/>
            </w:tcBorders>
            <w:shd w:val="clear" w:color="auto" w:fill="FFFFFF" w:themeFill="background1"/>
          </w:tcPr>
          <w:p w14:paraId="0658A504"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r w:rsidR="00751EFA" w:rsidRPr="000227BE" w14:paraId="399A2083"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72193539" w14:textId="77777777" w:rsidR="00751EFA" w:rsidRPr="00B13C3E" w:rsidRDefault="00751EFA" w:rsidP="006974C0">
            <w:pPr>
              <w:rPr>
                <w:b w:val="0"/>
                <w:color w:val="2A4F1C" w:themeColor="accent1" w:themeShade="80"/>
                <w:sz w:val="20"/>
              </w:rPr>
            </w:pPr>
            <w:r w:rsidRPr="00B13C3E">
              <w:rPr>
                <w:rFonts w:ascii="Arial Narrow" w:hAnsi="Arial Narrow"/>
                <w:sz w:val="20"/>
              </w:rPr>
              <w:t>Livré entre 15 novembre 2023 et 1</w:t>
            </w:r>
            <w:r w:rsidRPr="00B13C3E">
              <w:rPr>
                <w:rFonts w:ascii="Arial Narrow" w:hAnsi="Arial Narrow"/>
                <w:sz w:val="20"/>
                <w:vertAlign w:val="superscript"/>
              </w:rPr>
              <w:t>er</w:t>
            </w:r>
            <w:r w:rsidRPr="00B13C3E">
              <w:rPr>
                <w:rFonts w:ascii="Arial Narrow" w:hAnsi="Arial Narrow"/>
                <w:sz w:val="20"/>
              </w:rPr>
              <w:t xml:space="preserve"> février 2024</w:t>
            </w:r>
          </w:p>
        </w:tc>
        <w:tc>
          <w:tcPr>
            <w:tcW w:w="874" w:type="dxa"/>
            <w:vAlign w:val="center"/>
          </w:tcPr>
          <w:p w14:paraId="4C1BC34B" w14:textId="77777777" w:rsidR="00751EFA" w:rsidRPr="00B13C3E"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18,8 %</w:t>
            </w:r>
          </w:p>
        </w:tc>
        <w:tc>
          <w:tcPr>
            <w:tcW w:w="969" w:type="dxa"/>
            <w:vAlign w:val="center"/>
          </w:tcPr>
          <w:p w14:paraId="601FEA30"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16,2 %</w:t>
            </w:r>
          </w:p>
        </w:tc>
        <w:tc>
          <w:tcPr>
            <w:tcW w:w="1213" w:type="dxa"/>
          </w:tcPr>
          <w:p w14:paraId="43681A64"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38,1 %</w:t>
            </w:r>
          </w:p>
        </w:tc>
        <w:tc>
          <w:tcPr>
            <w:tcW w:w="992" w:type="dxa"/>
          </w:tcPr>
          <w:p w14:paraId="0BC937D6"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13,4 %</w:t>
            </w:r>
          </w:p>
        </w:tc>
        <w:tc>
          <w:tcPr>
            <w:tcW w:w="992" w:type="dxa"/>
          </w:tcPr>
          <w:p w14:paraId="416FC77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38,6 %</w:t>
            </w:r>
          </w:p>
        </w:tc>
        <w:tc>
          <w:tcPr>
            <w:tcW w:w="916" w:type="dxa"/>
            <w:vAlign w:val="center"/>
          </w:tcPr>
          <w:p w14:paraId="7844C978"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25,1 %</w:t>
            </w:r>
          </w:p>
        </w:tc>
        <w:tc>
          <w:tcPr>
            <w:tcW w:w="3093" w:type="dxa"/>
            <w:vMerge/>
            <w:tcBorders>
              <w:top w:val="single" w:sz="4" w:space="0" w:color="auto"/>
              <w:bottom w:val="nil"/>
              <w:right w:val="nil"/>
            </w:tcBorders>
            <w:shd w:val="clear" w:color="auto" w:fill="FFFFFF" w:themeFill="background1"/>
          </w:tcPr>
          <w:p w14:paraId="01F1F03E"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20F7647F"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single" w:sz="18" w:space="0" w:color="549E39" w:themeColor="accent1"/>
              <w:left w:val="single" w:sz="18" w:space="0" w:color="549E39" w:themeColor="accent1"/>
              <w:bottom w:val="nil"/>
              <w:right w:val="single" w:sz="4" w:space="0" w:color="549E39" w:themeColor="accent1"/>
            </w:tcBorders>
          </w:tcPr>
          <w:p w14:paraId="68DE1EF3" w14:textId="77777777" w:rsidR="00751EFA" w:rsidRPr="00B13C3E" w:rsidRDefault="00751EFA" w:rsidP="006974C0">
            <w:pPr>
              <w:rPr>
                <w:rFonts w:ascii="Arial Narrow" w:hAnsi="Arial Narrow"/>
                <w:b w:val="0"/>
                <w:color w:val="2A4F1C" w:themeColor="accent1" w:themeShade="80"/>
                <w:sz w:val="20"/>
              </w:rPr>
            </w:pPr>
            <w:r w:rsidRPr="00B13C3E">
              <w:rPr>
                <w:rFonts w:ascii="Arial Narrow" w:hAnsi="Arial Narrow" w:cs="Arial"/>
                <w:sz w:val="20"/>
              </w:rPr>
              <w:t>En stock au 1</w:t>
            </w:r>
            <w:r w:rsidRPr="00B13C3E">
              <w:rPr>
                <w:rFonts w:ascii="Arial Narrow" w:hAnsi="Arial Narrow" w:cs="Arial"/>
                <w:sz w:val="20"/>
                <w:vertAlign w:val="superscript"/>
              </w:rPr>
              <w:t>er</w:t>
            </w:r>
            <w:r w:rsidRPr="00B13C3E">
              <w:rPr>
                <w:rFonts w:ascii="Arial Narrow" w:hAnsi="Arial Narrow" w:cs="Arial"/>
                <w:sz w:val="20"/>
              </w:rPr>
              <w:t xml:space="preserve"> février 2024</w:t>
            </w:r>
          </w:p>
        </w:tc>
        <w:tc>
          <w:tcPr>
            <w:tcW w:w="874" w:type="dxa"/>
            <w:tcBorders>
              <w:top w:val="single" w:sz="18" w:space="0" w:color="549E39" w:themeColor="accent1"/>
              <w:left w:val="single" w:sz="4" w:space="0" w:color="549E39" w:themeColor="accent1"/>
              <w:bottom w:val="nil"/>
              <w:right w:val="single" w:sz="4" w:space="0" w:color="549E39" w:themeColor="accent1"/>
            </w:tcBorders>
            <w:vAlign w:val="center"/>
          </w:tcPr>
          <w:p w14:paraId="2C564D8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61,0 %</w:t>
            </w:r>
          </w:p>
        </w:tc>
        <w:tc>
          <w:tcPr>
            <w:tcW w:w="969" w:type="dxa"/>
            <w:tcBorders>
              <w:top w:val="single" w:sz="18" w:space="0" w:color="549E39" w:themeColor="accent1"/>
              <w:left w:val="single" w:sz="4" w:space="0" w:color="549E39" w:themeColor="accent1"/>
              <w:bottom w:val="nil"/>
              <w:right w:val="single" w:sz="4" w:space="0" w:color="549E39" w:themeColor="accent1"/>
            </w:tcBorders>
            <w:vAlign w:val="center"/>
          </w:tcPr>
          <w:p w14:paraId="05EA356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56,0 %</w:t>
            </w:r>
          </w:p>
        </w:tc>
        <w:tc>
          <w:tcPr>
            <w:tcW w:w="1213" w:type="dxa"/>
            <w:tcBorders>
              <w:top w:val="single" w:sz="18" w:space="0" w:color="549E39" w:themeColor="accent1"/>
              <w:left w:val="single" w:sz="4" w:space="0" w:color="549E39" w:themeColor="accent1"/>
              <w:bottom w:val="nil"/>
              <w:right w:val="single" w:sz="4" w:space="0" w:color="549E39" w:themeColor="accent1"/>
            </w:tcBorders>
          </w:tcPr>
          <w:p w14:paraId="050F6AB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33,9 %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3B7DAE18"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72,3 %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5F8CB0B9"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20,6 %</w:t>
            </w:r>
          </w:p>
        </w:tc>
        <w:tc>
          <w:tcPr>
            <w:tcW w:w="916" w:type="dxa"/>
            <w:tcBorders>
              <w:top w:val="single" w:sz="18" w:space="0" w:color="549E39" w:themeColor="accent1"/>
              <w:left w:val="single" w:sz="4" w:space="0" w:color="549E39" w:themeColor="accent1"/>
              <w:bottom w:val="nil"/>
              <w:right w:val="single" w:sz="18" w:space="0" w:color="549E39" w:themeColor="accent1"/>
            </w:tcBorders>
            <w:vAlign w:val="center"/>
          </w:tcPr>
          <w:p w14:paraId="3364998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55,7 %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35628E3C"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r w:rsidR="00751EFA" w:rsidRPr="000227BE" w14:paraId="42CF9D28"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nil"/>
              <w:left w:val="single" w:sz="18" w:space="0" w:color="549E39" w:themeColor="accent1"/>
              <w:bottom w:val="nil"/>
              <w:right w:val="single" w:sz="4" w:space="0" w:color="549E39" w:themeColor="accent1"/>
            </w:tcBorders>
          </w:tcPr>
          <w:p w14:paraId="4DD727AA" w14:textId="77777777" w:rsidR="00751EFA" w:rsidRPr="00B13C3E" w:rsidRDefault="00751EFA" w:rsidP="006974C0">
            <w:pPr>
              <w:jc w:val="right"/>
              <w:rPr>
                <w:rFonts w:ascii="Arial Narrow" w:hAnsi="Arial Narrow"/>
                <w:b w:val="0"/>
                <w:color w:val="2A4F1C" w:themeColor="accent1" w:themeShade="80"/>
                <w:sz w:val="20"/>
              </w:rPr>
            </w:pPr>
            <w:r w:rsidRPr="00B13C3E">
              <w:rPr>
                <w:rFonts w:ascii="Arial Narrow" w:hAnsi="Arial Narrow" w:cs="Arial"/>
                <w:sz w:val="20"/>
              </w:rPr>
              <w:t>Dont encore en libre</w:t>
            </w:r>
          </w:p>
        </w:tc>
        <w:tc>
          <w:tcPr>
            <w:tcW w:w="874" w:type="dxa"/>
            <w:tcBorders>
              <w:top w:val="nil"/>
              <w:left w:val="single" w:sz="4" w:space="0" w:color="549E39" w:themeColor="accent1"/>
              <w:bottom w:val="nil"/>
              <w:right w:val="single" w:sz="4" w:space="0" w:color="549E39" w:themeColor="accent1"/>
            </w:tcBorders>
            <w:vAlign w:val="center"/>
          </w:tcPr>
          <w:p w14:paraId="52198231" w14:textId="77777777" w:rsidR="00751EFA" w:rsidRPr="00B13C3E"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17,6 %</w:t>
            </w:r>
          </w:p>
        </w:tc>
        <w:tc>
          <w:tcPr>
            <w:tcW w:w="969" w:type="dxa"/>
            <w:tcBorders>
              <w:top w:val="nil"/>
              <w:left w:val="single" w:sz="4" w:space="0" w:color="549E39" w:themeColor="accent1"/>
              <w:bottom w:val="nil"/>
              <w:right w:val="single" w:sz="4" w:space="0" w:color="549E39" w:themeColor="accent1"/>
            </w:tcBorders>
            <w:vAlign w:val="center"/>
          </w:tcPr>
          <w:p w14:paraId="37A47F0C"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26,7 %</w:t>
            </w:r>
          </w:p>
        </w:tc>
        <w:tc>
          <w:tcPr>
            <w:tcW w:w="1213" w:type="dxa"/>
            <w:tcBorders>
              <w:top w:val="nil"/>
              <w:left w:val="single" w:sz="4" w:space="0" w:color="549E39" w:themeColor="accent1"/>
              <w:bottom w:val="nil"/>
              <w:right w:val="single" w:sz="4" w:space="0" w:color="549E39" w:themeColor="accent1"/>
            </w:tcBorders>
          </w:tcPr>
          <w:p w14:paraId="3CAAC2C1"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19,0 %</w:t>
            </w:r>
          </w:p>
        </w:tc>
        <w:tc>
          <w:tcPr>
            <w:tcW w:w="992" w:type="dxa"/>
            <w:tcBorders>
              <w:top w:val="nil"/>
              <w:left w:val="single" w:sz="4" w:space="0" w:color="549E39" w:themeColor="accent1"/>
              <w:bottom w:val="nil"/>
              <w:right w:val="single" w:sz="4" w:space="0" w:color="549E39" w:themeColor="accent1"/>
            </w:tcBorders>
          </w:tcPr>
          <w:p w14:paraId="7DFE4651"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21,0 %</w:t>
            </w:r>
          </w:p>
        </w:tc>
        <w:tc>
          <w:tcPr>
            <w:tcW w:w="992" w:type="dxa"/>
            <w:tcBorders>
              <w:top w:val="nil"/>
              <w:left w:val="single" w:sz="4" w:space="0" w:color="549E39" w:themeColor="accent1"/>
              <w:bottom w:val="nil"/>
              <w:right w:val="single" w:sz="4" w:space="0" w:color="549E39" w:themeColor="accent1"/>
            </w:tcBorders>
          </w:tcPr>
          <w:p w14:paraId="1EDC9A52"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5,0 %</w:t>
            </w:r>
          </w:p>
        </w:tc>
        <w:tc>
          <w:tcPr>
            <w:tcW w:w="916" w:type="dxa"/>
            <w:tcBorders>
              <w:top w:val="nil"/>
              <w:left w:val="single" w:sz="4" w:space="0" w:color="549E39" w:themeColor="accent1"/>
              <w:bottom w:val="nil"/>
              <w:right w:val="single" w:sz="18" w:space="0" w:color="549E39" w:themeColor="accent1"/>
            </w:tcBorders>
            <w:vAlign w:val="center"/>
          </w:tcPr>
          <w:p w14:paraId="1019103D"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11,2 %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2C909C79"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2FFCF7C7"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nil"/>
              <w:left w:val="single" w:sz="18" w:space="0" w:color="549E39" w:themeColor="accent1"/>
              <w:bottom w:val="single" w:sz="18" w:space="0" w:color="549E39" w:themeColor="accent1"/>
              <w:right w:val="single" w:sz="4" w:space="0" w:color="549E39" w:themeColor="accent1"/>
            </w:tcBorders>
          </w:tcPr>
          <w:p w14:paraId="31CCE126" w14:textId="77777777" w:rsidR="00751EFA" w:rsidRPr="00B13C3E" w:rsidRDefault="00751EFA" w:rsidP="006974C0">
            <w:pPr>
              <w:jc w:val="right"/>
              <w:rPr>
                <w:rFonts w:ascii="Arial Narrow" w:hAnsi="Arial Narrow"/>
                <w:b w:val="0"/>
                <w:color w:val="2A4F1C" w:themeColor="accent1" w:themeShade="80"/>
                <w:sz w:val="20"/>
              </w:rPr>
            </w:pPr>
            <w:r w:rsidRPr="00B13C3E">
              <w:rPr>
                <w:rFonts w:ascii="Arial Narrow" w:hAnsi="Arial Narrow" w:cs="Arial"/>
                <w:sz w:val="20"/>
              </w:rPr>
              <w:t>Sous contrat</w:t>
            </w:r>
          </w:p>
        </w:tc>
        <w:tc>
          <w:tcPr>
            <w:tcW w:w="874" w:type="dxa"/>
            <w:tcBorders>
              <w:top w:val="nil"/>
              <w:left w:val="single" w:sz="4" w:space="0" w:color="549E39" w:themeColor="accent1"/>
              <w:bottom w:val="single" w:sz="18" w:space="0" w:color="549E39" w:themeColor="accent1"/>
              <w:right w:val="single" w:sz="4" w:space="0" w:color="549E39" w:themeColor="accent1"/>
            </w:tcBorders>
            <w:vAlign w:val="center"/>
          </w:tcPr>
          <w:p w14:paraId="1BE62B93" w14:textId="77777777" w:rsidR="00751EFA" w:rsidRPr="00B13C3E"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43,4 %</w:t>
            </w:r>
          </w:p>
        </w:tc>
        <w:tc>
          <w:tcPr>
            <w:tcW w:w="969" w:type="dxa"/>
            <w:tcBorders>
              <w:top w:val="nil"/>
              <w:left w:val="single" w:sz="4" w:space="0" w:color="549E39" w:themeColor="accent1"/>
              <w:bottom w:val="single" w:sz="18" w:space="0" w:color="549E39" w:themeColor="accent1"/>
              <w:right w:val="single" w:sz="4" w:space="0" w:color="549E39" w:themeColor="accent1"/>
            </w:tcBorders>
            <w:vAlign w:val="center"/>
          </w:tcPr>
          <w:p w14:paraId="682265CA"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29,2 %</w:t>
            </w:r>
          </w:p>
        </w:tc>
        <w:tc>
          <w:tcPr>
            <w:tcW w:w="1213" w:type="dxa"/>
            <w:tcBorders>
              <w:top w:val="nil"/>
              <w:left w:val="single" w:sz="4" w:space="0" w:color="549E39" w:themeColor="accent1"/>
              <w:bottom w:val="single" w:sz="18" w:space="0" w:color="549E39" w:themeColor="accent1"/>
              <w:right w:val="single" w:sz="4" w:space="0" w:color="549E39" w:themeColor="accent1"/>
            </w:tcBorders>
          </w:tcPr>
          <w:p w14:paraId="0AA7E9DA"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15,0 %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66C30026"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51,3 %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61E9953C"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15,5 %</w:t>
            </w:r>
          </w:p>
        </w:tc>
        <w:tc>
          <w:tcPr>
            <w:tcW w:w="916" w:type="dxa"/>
            <w:tcBorders>
              <w:top w:val="nil"/>
              <w:left w:val="single" w:sz="4" w:space="0" w:color="549E39" w:themeColor="accent1"/>
              <w:bottom w:val="single" w:sz="18" w:space="0" w:color="549E39" w:themeColor="accent1"/>
              <w:right w:val="single" w:sz="18" w:space="0" w:color="549E39" w:themeColor="accent1"/>
            </w:tcBorders>
            <w:vAlign w:val="center"/>
          </w:tcPr>
          <w:p w14:paraId="590EFA0F"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44,5 %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2E9BF46E"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bl>
    <w:p w14:paraId="660BC7B0" w14:textId="3F2E0B7B" w:rsidR="00793568" w:rsidRPr="004E4FBA" w:rsidRDefault="00B819C1" w:rsidP="004B73F2">
      <w:pPr>
        <w:pStyle w:val="Kop3"/>
        <w:rPr>
          <w:rFonts w:eastAsia="Times New Roman"/>
          <w:lang w:val="fr-FR" w:eastAsia="fr-FR"/>
        </w:rPr>
      </w:pPr>
      <w:proofErr w:type="spellStart"/>
      <w:r>
        <w:rPr>
          <w:rFonts w:eastAsia="Times New Roman"/>
          <w:lang w:val="fr-FR" w:eastAsia="fr-FR"/>
        </w:rPr>
        <w:t>Schatting</w:t>
      </w:r>
      <w:proofErr w:type="spellEnd"/>
      <w:r w:rsidR="003011EF">
        <w:rPr>
          <w:rFonts w:eastAsia="Times New Roman"/>
          <w:lang w:val="fr-FR" w:eastAsia="fr-FR"/>
        </w:rPr>
        <w:t xml:space="preserve"> </w:t>
      </w:r>
      <w:proofErr w:type="spellStart"/>
      <w:r w:rsidR="003011EF">
        <w:rPr>
          <w:rFonts w:eastAsia="Times New Roman"/>
          <w:lang w:val="fr-FR" w:eastAsia="fr-FR"/>
        </w:rPr>
        <w:t>voorraad</w:t>
      </w:r>
      <w:proofErr w:type="spellEnd"/>
      <w:r w:rsidR="003011EF">
        <w:rPr>
          <w:rFonts w:eastAsia="Times New Roman"/>
          <w:lang w:val="fr-FR" w:eastAsia="fr-FR"/>
        </w:rPr>
        <w:t xml:space="preserve"> (</w:t>
      </w:r>
      <w:proofErr w:type="spellStart"/>
      <w:r w:rsidR="003011EF">
        <w:rPr>
          <w:rFonts w:eastAsia="Times New Roman"/>
          <w:lang w:val="fr-FR" w:eastAsia="fr-FR"/>
        </w:rPr>
        <w:t>meerjarige</w:t>
      </w:r>
      <w:proofErr w:type="spellEnd"/>
      <w:r w:rsidR="003011EF">
        <w:rPr>
          <w:rFonts w:eastAsia="Times New Roman"/>
          <w:lang w:val="fr-FR" w:eastAsia="fr-FR"/>
        </w:rPr>
        <w:t xml:space="preserve"> </w:t>
      </w:r>
      <w:proofErr w:type="spellStart"/>
      <w:r w:rsidR="003011EF">
        <w:rPr>
          <w:rFonts w:eastAsia="Times New Roman"/>
          <w:lang w:val="fr-FR" w:eastAsia="fr-FR"/>
        </w:rPr>
        <w:t>vergelijking</w:t>
      </w:r>
      <w:proofErr w:type="spellEnd"/>
      <w:r w:rsidR="003011EF">
        <w:rPr>
          <w:rFonts w:eastAsia="Times New Roman"/>
          <w:lang w:val="fr-FR" w:eastAsia="fr-FR"/>
        </w:rPr>
        <w:t>)</w:t>
      </w:r>
      <w:r w:rsidR="00793568" w:rsidRPr="004E4FBA">
        <w:rPr>
          <w:rFonts w:eastAsia="Times New Roman"/>
          <w:lang w:val="fr-FR" w:eastAsia="fr-FR"/>
        </w:rPr>
        <w:t xml:space="preserve"> </w:t>
      </w:r>
    </w:p>
    <w:p w14:paraId="6D1449CC" w14:textId="6AD6B444" w:rsidR="005C7344" w:rsidRPr="00B819C1" w:rsidRDefault="00B819C1" w:rsidP="00793568">
      <w:pPr>
        <w:spacing w:after="0"/>
        <w:rPr>
          <w:rFonts w:asciiTheme="majorHAnsi" w:eastAsia="Times New Roman" w:hAnsiTheme="majorHAnsi" w:cs="Calibri"/>
          <w:sz w:val="16"/>
          <w:szCs w:val="16"/>
          <w:highlight w:val="red"/>
          <w:lang w:val="nl-BE" w:eastAsia="fr-FR"/>
        </w:rPr>
      </w:pPr>
      <w:r w:rsidRPr="00B819C1">
        <w:rPr>
          <w:rFonts w:asciiTheme="majorHAnsi" w:eastAsia="Times New Roman" w:hAnsiTheme="majorHAnsi" w:cs="Calibri"/>
          <w:sz w:val="16"/>
          <w:szCs w:val="16"/>
          <w:lang w:val="nl-BE" w:eastAsia="fr-FR"/>
        </w:rPr>
        <w:t xml:space="preserve">Volgens het onderzoek bleef begin februari naar schatting ongeveer 2,56 miljoen ton aan bewaar-aardappelvariëteiten in de Belgische loodsen liggen. Dit is 130.000 ton meer dan vorig jaar, maar het is zeer vergelijkbaar met het gemiddelde van de afgelopen 3 jaar (2,53 miljoen ton). </w:t>
      </w:r>
      <w:proofErr w:type="spellStart"/>
      <w:r w:rsidRPr="00B819C1">
        <w:rPr>
          <w:rFonts w:asciiTheme="majorHAnsi" w:eastAsia="Times New Roman" w:hAnsiTheme="majorHAnsi" w:cs="Calibri"/>
          <w:sz w:val="16"/>
          <w:szCs w:val="16"/>
          <w:lang w:val="nl-BE" w:eastAsia="fr-FR"/>
        </w:rPr>
        <w:t>Fontane</w:t>
      </w:r>
      <w:proofErr w:type="spellEnd"/>
      <w:r w:rsidRPr="00B819C1">
        <w:rPr>
          <w:rFonts w:asciiTheme="majorHAnsi" w:eastAsia="Times New Roman" w:hAnsiTheme="majorHAnsi" w:cs="Calibri"/>
          <w:sz w:val="16"/>
          <w:szCs w:val="16"/>
          <w:lang w:val="nl-BE" w:eastAsia="fr-FR"/>
        </w:rPr>
        <w:t xml:space="preserve"> neemt meer dan 70% van de voorraad in beslag, </w:t>
      </w:r>
      <w:proofErr w:type="spellStart"/>
      <w:r w:rsidRPr="00B819C1">
        <w:rPr>
          <w:rFonts w:asciiTheme="majorHAnsi" w:eastAsia="Times New Roman" w:hAnsiTheme="majorHAnsi" w:cs="Calibri"/>
          <w:sz w:val="16"/>
          <w:szCs w:val="16"/>
          <w:lang w:val="nl-BE" w:eastAsia="fr-FR"/>
        </w:rPr>
        <w:t>Challenger</w:t>
      </w:r>
      <w:proofErr w:type="spellEnd"/>
      <w:r w:rsidRPr="00B819C1">
        <w:rPr>
          <w:rFonts w:asciiTheme="majorHAnsi" w:eastAsia="Times New Roman" w:hAnsiTheme="majorHAnsi" w:cs="Calibri"/>
          <w:sz w:val="16"/>
          <w:szCs w:val="16"/>
          <w:lang w:val="nl-BE" w:eastAsia="fr-FR"/>
        </w:rPr>
        <w:t>, Innovator en Bintje elk tussen 2% en 3,5%, en de overige variëteiten ongeveer 18% (tegenover 24% vorig jaar en 18% in februari 2022).</w:t>
      </w:r>
    </w:p>
    <w:p w14:paraId="26A21723" w14:textId="77777777" w:rsidR="00793568" w:rsidRPr="00B819C1" w:rsidRDefault="00793568" w:rsidP="00793568">
      <w:pPr>
        <w:spacing w:after="0"/>
        <w:rPr>
          <w:rFonts w:ascii="Calibri" w:eastAsia="Times New Roman" w:hAnsi="Calibri" w:cs="Calibri"/>
          <w:sz w:val="4"/>
          <w:szCs w:val="4"/>
          <w:highlight w:val="red"/>
          <w:lang w:val="nl-BE" w:eastAsia="fr-FR"/>
        </w:rPr>
      </w:pPr>
    </w:p>
    <w:p w14:paraId="335E719B" w14:textId="7DFE0B9B" w:rsidR="00793568" w:rsidRPr="00D33B08" w:rsidRDefault="00793568" w:rsidP="004B73F2">
      <w:pPr>
        <w:pStyle w:val="Bijschrift"/>
        <w:rPr>
          <w:rFonts w:eastAsia="Times New Roman"/>
          <w:lang w:val="fr-FR" w:eastAsia="fr-FR"/>
        </w:rPr>
      </w:pPr>
      <w:r w:rsidRPr="00D33B08">
        <w:rPr>
          <w:rFonts w:eastAsia="Times New Roman"/>
          <w:u w:val="single"/>
          <w:lang w:val="fr-FR" w:eastAsia="fr-FR"/>
        </w:rPr>
        <w:t>Graphique 1 :</w:t>
      </w:r>
      <w:r w:rsidRPr="00D33B08">
        <w:rPr>
          <w:rFonts w:eastAsia="Times New Roman"/>
          <w:lang w:val="fr-FR" w:eastAsia="fr-FR"/>
        </w:rPr>
        <w:t xml:space="preserve"> Stock total au </w:t>
      </w:r>
      <w:r w:rsidR="00A478DA" w:rsidRPr="00D33B08">
        <w:rPr>
          <w:rFonts w:eastAsia="Times New Roman"/>
          <w:lang w:val="fr-FR" w:eastAsia="fr-FR"/>
        </w:rPr>
        <w:t>1</w:t>
      </w:r>
      <w:r w:rsidRPr="00D33B08">
        <w:rPr>
          <w:rFonts w:eastAsia="Times New Roman"/>
          <w:vertAlign w:val="superscript"/>
          <w:lang w:val="fr-FR" w:eastAsia="fr-FR"/>
        </w:rPr>
        <w:t>er</w:t>
      </w:r>
      <w:r w:rsidR="00A478DA" w:rsidRPr="00D33B08">
        <w:rPr>
          <w:rFonts w:eastAsia="Times New Roman"/>
          <w:lang w:val="fr-FR" w:eastAsia="fr-FR"/>
        </w:rPr>
        <w:t xml:space="preserve"> </w:t>
      </w:r>
      <w:r w:rsidRPr="00D33B08">
        <w:rPr>
          <w:rFonts w:eastAsia="Times New Roman"/>
          <w:lang w:val="fr-FR" w:eastAsia="fr-FR"/>
        </w:rPr>
        <w:t>février 202</w:t>
      </w:r>
      <w:r w:rsidR="00D33B08">
        <w:rPr>
          <w:rFonts w:eastAsia="Times New Roman"/>
          <w:lang w:val="fr-FR" w:eastAsia="fr-FR"/>
        </w:rPr>
        <w:t>4</w:t>
      </w:r>
      <w:r w:rsidRPr="00D33B08">
        <w:rPr>
          <w:rFonts w:eastAsia="Times New Roman"/>
          <w:lang w:val="fr-FR" w:eastAsia="fr-FR"/>
        </w:rPr>
        <w:t xml:space="preserve"> – Fontane, Challenger, Bintje, Innovator et autres variétés (en </w:t>
      </w:r>
      <w:r w:rsidR="00B20995" w:rsidRPr="00D33B08">
        <w:rPr>
          <w:rFonts w:eastAsia="Times New Roman"/>
          <w:lang w:val="fr-FR" w:eastAsia="fr-FR"/>
        </w:rPr>
        <w:t>1.000</w:t>
      </w:r>
      <w:r w:rsidRPr="00D33B08">
        <w:rPr>
          <w:rFonts w:eastAsia="Times New Roman"/>
          <w:lang w:val="fr-FR" w:eastAsia="fr-FR"/>
        </w:rPr>
        <w:t xml:space="preserve"> tonne</w:t>
      </w:r>
      <w:r w:rsidR="00B20995" w:rsidRPr="00D33B08">
        <w:rPr>
          <w:rFonts w:eastAsia="Times New Roman"/>
          <w:lang w:val="fr-FR" w:eastAsia="fr-FR"/>
        </w:rPr>
        <w:t>s</w:t>
      </w:r>
      <w:r w:rsidRPr="00D33B08">
        <w:rPr>
          <w:rFonts w:eastAsia="Times New Roman"/>
          <w:lang w:val="fr-FR" w:eastAsia="fr-FR"/>
        </w:rPr>
        <w:t>)</w:t>
      </w:r>
    </w:p>
    <w:p w14:paraId="77F80F29" w14:textId="03AFF68C" w:rsidR="000C34EA" w:rsidRPr="000227BE" w:rsidRDefault="00D33B08" w:rsidP="003C3155">
      <w:pPr>
        <w:jc w:val="center"/>
        <w:rPr>
          <w:highlight w:val="red"/>
          <w:lang w:eastAsia="fr-FR"/>
        </w:rPr>
      </w:pPr>
      <w:r w:rsidRPr="00D33B08">
        <w:rPr>
          <w:noProof/>
        </w:rPr>
        <w:drawing>
          <wp:inline distT="0" distB="0" distL="0" distR="0" wp14:anchorId="4DCFC440" wp14:editId="79A8553F">
            <wp:extent cx="5673630" cy="3095625"/>
            <wp:effectExtent l="0" t="0" r="3810" b="0"/>
            <wp:docPr id="1484073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0734" cy="3110413"/>
                    </a:xfrm>
                    <a:prstGeom prst="rect">
                      <a:avLst/>
                    </a:prstGeom>
                    <a:noFill/>
                    <a:ln>
                      <a:noFill/>
                    </a:ln>
                  </pic:spPr>
                </pic:pic>
              </a:graphicData>
            </a:graphic>
          </wp:inline>
        </w:drawing>
      </w:r>
    </w:p>
    <w:p w14:paraId="3196481A" w14:textId="77777777" w:rsidR="00793568" w:rsidRPr="000227BE" w:rsidRDefault="00793568" w:rsidP="00793568">
      <w:pPr>
        <w:spacing w:after="0"/>
        <w:rPr>
          <w:rFonts w:ascii="Calibri" w:eastAsia="Times New Roman" w:hAnsi="Calibri" w:cs="Calibri"/>
          <w:b/>
          <w:sz w:val="4"/>
          <w:szCs w:val="4"/>
          <w:highlight w:val="red"/>
          <w:u w:val="single"/>
          <w:lang w:val="fr-FR" w:eastAsia="fr-FR"/>
        </w:rPr>
      </w:pPr>
    </w:p>
    <w:p w14:paraId="6D58E808" w14:textId="77777777" w:rsidR="00793568" w:rsidRPr="000227BE" w:rsidRDefault="00793568" w:rsidP="00793568">
      <w:pPr>
        <w:spacing w:after="0"/>
        <w:rPr>
          <w:rFonts w:ascii="Calibri" w:eastAsia="Times New Roman" w:hAnsi="Calibri" w:cs="Calibri"/>
          <w:b/>
          <w:sz w:val="16"/>
          <w:szCs w:val="16"/>
          <w:highlight w:val="red"/>
          <w:u w:val="single"/>
          <w:lang w:val="fr-FR" w:eastAsia="fr-FR"/>
        </w:rPr>
        <w:sectPr w:rsidR="00793568" w:rsidRPr="000227BE" w:rsidSect="0033275A">
          <w:footerReference w:type="even" r:id="rId15"/>
          <w:footerReference w:type="default" r:id="rId16"/>
          <w:type w:val="continuous"/>
          <w:pgSz w:w="11906" w:h="16838" w:code="9"/>
          <w:pgMar w:top="539" w:right="851" w:bottom="284" w:left="851" w:header="709" w:footer="283" w:gutter="0"/>
          <w:cols w:space="708"/>
          <w:docGrid w:linePitch="360"/>
        </w:sectPr>
      </w:pPr>
    </w:p>
    <w:p w14:paraId="24941E33" w14:textId="37D29D11" w:rsidR="00B20995" w:rsidRDefault="00640652" w:rsidP="00793568">
      <w:pPr>
        <w:pStyle w:val="Bijschrift"/>
        <w:rPr>
          <w:rFonts w:ascii="Times New Roman" w:eastAsia="Times New Roman" w:hAnsi="Times New Roman" w:cs="Times New Roman"/>
          <w:b w:val="0"/>
          <w:bCs w:val="0"/>
          <w:sz w:val="24"/>
          <w:szCs w:val="24"/>
          <w:lang w:val="nl-BE" w:eastAsia="fr-FR"/>
        </w:rPr>
      </w:pPr>
      <w:r w:rsidRPr="00640652">
        <w:rPr>
          <w:rFonts w:ascii="Times New Roman" w:eastAsia="Times New Roman" w:hAnsi="Times New Roman" w:cs="Times New Roman"/>
          <w:b w:val="0"/>
          <w:bCs w:val="0"/>
          <w:sz w:val="24"/>
          <w:szCs w:val="24"/>
          <w:lang w:val="nl-BE" w:eastAsia="fr-FR"/>
        </w:rPr>
        <w:t>Alle variëteiten samen genomen, wordt de vrije voorraad geschat op 740.000 ton, tegenover 500.000 ton vorig jaar en een gemiddelde van 610.000 ton over de afgelopen 3 jaar. De huidige vrije voorraad is de hoogste sinds februari 2020 (810.000 ton). Het vertegenwoordigt bijna 30% van de totale voorraad, tegenover een gemiddelde van 25% voor de afgelopen 5 seizoenen. De hoeveelheden onder contract bedragen 1,82 miljoen ton, tegenover 1,93 miljoen ton vorig jaar en een gemiddelde van 1,92 miljoen ton over 3 jaar. Men moet teruggaan naar februari 2020 om op 1 februari dergelijk lage contractvoorraden te vinden.</w:t>
      </w:r>
    </w:p>
    <w:p w14:paraId="0D0C139D" w14:textId="77777777" w:rsidR="002F56AF" w:rsidRDefault="002F56AF" w:rsidP="00FC396C">
      <w:pPr>
        <w:rPr>
          <w:i/>
          <w:iCs/>
          <w:u w:val="single"/>
          <w:lang w:val="nl-BE" w:eastAsia="fr-FR"/>
        </w:rPr>
      </w:pPr>
    </w:p>
    <w:p w14:paraId="20D15CCB" w14:textId="34E695C2" w:rsidR="00FC396C" w:rsidRPr="00FC396C" w:rsidRDefault="00FC396C" w:rsidP="00FC396C">
      <w:pPr>
        <w:rPr>
          <w:i/>
          <w:iCs/>
          <w:lang w:val="nl-BE" w:eastAsia="fr-FR"/>
        </w:rPr>
      </w:pPr>
      <w:r w:rsidRPr="00FC396C">
        <w:rPr>
          <w:i/>
          <w:iCs/>
          <w:u w:val="single"/>
          <w:lang w:val="nl-BE" w:eastAsia="fr-FR"/>
        </w:rPr>
        <w:t>Grafieken 2 tot 6</w:t>
      </w:r>
      <w:r w:rsidRPr="00FC396C">
        <w:rPr>
          <w:i/>
          <w:iCs/>
          <w:lang w:val="nl-BE" w:eastAsia="fr-FR"/>
        </w:rPr>
        <w:t xml:space="preserve">: Evolutie van de voorraden in België voor Bintje, </w:t>
      </w:r>
      <w:proofErr w:type="spellStart"/>
      <w:r w:rsidRPr="00FC396C">
        <w:rPr>
          <w:i/>
          <w:iCs/>
          <w:lang w:val="nl-BE" w:eastAsia="fr-FR"/>
        </w:rPr>
        <w:t>Challenger</w:t>
      </w:r>
      <w:proofErr w:type="spellEnd"/>
      <w:r w:rsidRPr="00FC396C">
        <w:rPr>
          <w:i/>
          <w:iCs/>
          <w:lang w:val="nl-BE" w:eastAsia="fr-FR"/>
        </w:rPr>
        <w:t xml:space="preserve">, </w:t>
      </w:r>
      <w:proofErr w:type="spellStart"/>
      <w:r w:rsidRPr="00FC396C">
        <w:rPr>
          <w:i/>
          <w:iCs/>
          <w:lang w:val="nl-BE" w:eastAsia="fr-FR"/>
        </w:rPr>
        <w:t>Fontane</w:t>
      </w:r>
      <w:proofErr w:type="spellEnd"/>
      <w:r w:rsidRPr="00FC396C">
        <w:rPr>
          <w:i/>
          <w:iCs/>
          <w:lang w:val="nl-BE" w:eastAsia="fr-FR"/>
        </w:rPr>
        <w:t>, Innovator en andere - productiejaren 2010 tot 2023 - initiële productie, voorraad november, voorraad februari, voorraad april (behalve 2023), jaarlijkse oppervlakte (ha - bron: regionale PAC-verklaringen) en gemiddelde prijs FIWAP/PCA op de vrije markt gedurende het seizoen (gedeeltelijk in 2022):</w:t>
      </w:r>
    </w:p>
    <w:p w14:paraId="73204CA6" w14:textId="47302ECC" w:rsidR="00793568" w:rsidRPr="00FC396C" w:rsidRDefault="003C6B69" w:rsidP="00793568">
      <w:pPr>
        <w:spacing w:after="0"/>
        <w:rPr>
          <w:rFonts w:ascii="Calibri" w:eastAsia="Times New Roman" w:hAnsi="Calibri" w:cs="Calibri"/>
          <w:b/>
          <w:color w:val="70AD47"/>
          <w:sz w:val="4"/>
          <w:szCs w:val="4"/>
          <w:highlight w:val="red"/>
          <w:lang w:val="nl-BE" w:eastAsia="fr-FR"/>
        </w:rPr>
      </w:pPr>
      <w:r w:rsidRPr="003C6B69">
        <w:rPr>
          <w:noProof/>
          <w:highlight w:val="red"/>
        </w:rPr>
        <w:lastRenderedPageBreak/>
        <w:drawing>
          <wp:anchor distT="0" distB="0" distL="114300" distR="114300" simplePos="0" relativeHeight="251664384" behindDoc="0" locked="0" layoutInCell="1" allowOverlap="1" wp14:anchorId="3B357E1A" wp14:editId="65CDF1D7">
            <wp:simplePos x="0" y="0"/>
            <wp:positionH relativeFrom="column">
              <wp:posOffset>2199005</wp:posOffset>
            </wp:positionH>
            <wp:positionV relativeFrom="page">
              <wp:posOffset>1218565</wp:posOffset>
            </wp:positionV>
            <wp:extent cx="4334510" cy="2839085"/>
            <wp:effectExtent l="0" t="0" r="8890" b="0"/>
            <wp:wrapSquare wrapText="bothSides"/>
            <wp:docPr id="1420513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451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96FEB" w14:textId="77777777" w:rsidR="00793568" w:rsidRPr="00FC396C" w:rsidRDefault="00793568" w:rsidP="00793568">
      <w:pPr>
        <w:spacing w:after="0"/>
        <w:rPr>
          <w:rFonts w:ascii="Calibri" w:eastAsia="Times New Roman" w:hAnsi="Calibri" w:cs="Calibri"/>
          <w:b/>
          <w:bCs/>
          <w:sz w:val="23"/>
          <w:szCs w:val="23"/>
          <w:highlight w:val="red"/>
          <w:u w:val="single"/>
          <w:lang w:val="nl-BE" w:eastAsia="fr-FR"/>
        </w:rPr>
        <w:sectPr w:rsidR="00793568" w:rsidRPr="00FC396C" w:rsidSect="0033275A">
          <w:type w:val="continuous"/>
          <w:pgSz w:w="11906" w:h="16838" w:code="9"/>
          <w:pgMar w:top="539" w:right="851" w:bottom="284" w:left="851" w:header="709" w:footer="397" w:gutter="0"/>
          <w:cols w:sep="1" w:space="284"/>
          <w:docGrid w:linePitch="360"/>
        </w:sectPr>
      </w:pPr>
    </w:p>
    <w:p w14:paraId="7FF71731" w14:textId="5003BB78" w:rsidR="00C74822" w:rsidRPr="008F121E" w:rsidRDefault="00793568" w:rsidP="00793568">
      <w:pPr>
        <w:spacing w:after="0"/>
        <w:rPr>
          <w:rFonts w:eastAsia="Times New Roman" w:cs="Calibri"/>
          <w:szCs w:val="22"/>
          <w:lang w:val="nl-BE" w:eastAsia="fr-FR"/>
        </w:rPr>
      </w:pPr>
      <w:r w:rsidRPr="008F121E">
        <w:rPr>
          <w:rFonts w:eastAsia="Times New Roman" w:cs="Calibri"/>
          <w:b/>
          <w:bCs/>
          <w:color w:val="538135"/>
          <w:u w:val="single"/>
          <w:lang w:val="nl-BE"/>
        </w:rPr>
        <w:t>Bintje</w:t>
      </w:r>
      <w:r w:rsidR="005C7344" w:rsidRPr="008F121E">
        <w:rPr>
          <w:rFonts w:eastAsia="Times New Roman" w:cs="Calibri"/>
          <w:b/>
          <w:bCs/>
          <w:color w:val="538135"/>
          <w:u w:val="single"/>
          <w:lang w:val="nl-BE"/>
        </w:rPr>
        <w:t xml:space="preserve"> </w:t>
      </w:r>
      <w:r w:rsidRPr="008F121E">
        <w:rPr>
          <w:rFonts w:eastAsia="Times New Roman" w:cs="Calibri"/>
          <w:b/>
          <w:bCs/>
          <w:color w:val="538135"/>
          <w:u w:val="single"/>
          <w:lang w:val="nl-BE"/>
        </w:rPr>
        <w:t>:</w:t>
      </w:r>
      <w:r w:rsidRPr="008F121E">
        <w:rPr>
          <w:rFonts w:ascii="Calibri" w:eastAsia="Times New Roman" w:hAnsi="Calibri" w:cs="Calibri"/>
          <w:color w:val="538135"/>
          <w:szCs w:val="22"/>
          <w:lang w:val="nl-BE" w:eastAsia="fr-FR"/>
        </w:rPr>
        <w:t xml:space="preserve"> </w:t>
      </w:r>
      <w:r w:rsidR="008F121E" w:rsidRPr="008F121E">
        <w:rPr>
          <w:rFonts w:ascii="Calibri" w:eastAsia="Times New Roman" w:hAnsi="Calibri" w:cs="Calibri"/>
          <w:color w:val="538135"/>
          <w:szCs w:val="22"/>
          <w:lang w:val="nl-BE" w:eastAsia="fr-FR"/>
        </w:rPr>
        <w:t>De huidige voorraden zijn zeer laag en vergelijkbaar met vorig jaar (minder dan 100.000 ton), voor de helft vrij en voor de helft onder contract. De initiële productie is regelmatig afgevoerd, met 20.000 ton die het veld heeft verlaten, 30.000 ton tussen oogst en half november, en 30.000 ton tussen half november en begin februari.</w:t>
      </w:r>
    </w:p>
    <w:p w14:paraId="274A3D0B" w14:textId="18C2B06D" w:rsidR="00793568" w:rsidRPr="008F121E" w:rsidRDefault="00793568" w:rsidP="00793568">
      <w:pPr>
        <w:spacing w:after="0"/>
        <w:rPr>
          <w:rFonts w:eastAsia="Times New Roman" w:cs="Calibri"/>
          <w:szCs w:val="22"/>
          <w:highlight w:val="red"/>
          <w:lang w:val="nl-BE" w:eastAsia="fr-FR"/>
        </w:rPr>
        <w:sectPr w:rsidR="00793568" w:rsidRPr="008F121E" w:rsidSect="0033275A">
          <w:type w:val="continuous"/>
          <w:pgSz w:w="11906" w:h="16838" w:code="9"/>
          <w:pgMar w:top="539" w:right="851" w:bottom="284" w:left="851" w:header="709" w:footer="567" w:gutter="0"/>
          <w:cols w:num="2" w:space="170" w:equalWidth="0">
            <w:col w:w="3121" w:space="170"/>
            <w:col w:w="6913"/>
          </w:cols>
          <w:docGrid w:linePitch="360"/>
        </w:sectPr>
      </w:pPr>
      <w:r w:rsidRPr="008F121E">
        <w:rPr>
          <w:rFonts w:ascii="Calibri" w:eastAsia="Times New Roman" w:hAnsi="Calibri" w:cs="Calibri"/>
          <w:sz w:val="24"/>
          <w:szCs w:val="24"/>
          <w:highlight w:val="red"/>
          <w:lang w:val="nl-BE" w:eastAsia="fr-FR"/>
        </w:rPr>
        <w:br w:type="column"/>
      </w:r>
    </w:p>
    <w:p w14:paraId="1F5D6A8D" w14:textId="77777777" w:rsidR="0007571B" w:rsidRPr="0007571B" w:rsidRDefault="00C74822" w:rsidP="0007571B">
      <w:pPr>
        <w:spacing w:after="0"/>
        <w:rPr>
          <w:rFonts w:ascii="Calibri" w:eastAsia="Times New Roman" w:hAnsi="Calibri" w:cs="Calibri"/>
          <w:bCs/>
          <w:color w:val="538135"/>
          <w:szCs w:val="22"/>
          <w:lang w:val="nl-BE" w:eastAsia="fr-FR"/>
        </w:rPr>
      </w:pPr>
      <w:r w:rsidRPr="00C74822">
        <w:rPr>
          <w:noProof/>
        </w:rPr>
        <w:drawing>
          <wp:anchor distT="0" distB="0" distL="114300" distR="114300" simplePos="0" relativeHeight="251665408" behindDoc="0" locked="0" layoutInCell="1" allowOverlap="1" wp14:anchorId="61CCF830" wp14:editId="77648763">
            <wp:simplePos x="0" y="0"/>
            <wp:positionH relativeFrom="column">
              <wp:posOffset>2212340</wp:posOffset>
            </wp:positionH>
            <wp:positionV relativeFrom="page">
              <wp:posOffset>4111625</wp:posOffset>
            </wp:positionV>
            <wp:extent cx="4358640" cy="2858770"/>
            <wp:effectExtent l="0" t="0" r="3810" b="0"/>
            <wp:wrapSquare wrapText="bothSides"/>
            <wp:docPr id="999287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864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69" w:rsidRPr="00C74822">
        <w:rPr>
          <w:noProof/>
        </w:rPr>
        <w:drawing>
          <wp:anchor distT="0" distB="0" distL="114300" distR="114300" simplePos="0" relativeHeight="251666432" behindDoc="0" locked="0" layoutInCell="1" allowOverlap="1" wp14:anchorId="4E2C68E6" wp14:editId="2AE57F4F">
            <wp:simplePos x="0" y="0"/>
            <wp:positionH relativeFrom="column">
              <wp:posOffset>2152650</wp:posOffset>
            </wp:positionH>
            <wp:positionV relativeFrom="page">
              <wp:posOffset>7174865</wp:posOffset>
            </wp:positionV>
            <wp:extent cx="4361180" cy="2860675"/>
            <wp:effectExtent l="0" t="0" r="1270" b="0"/>
            <wp:wrapSquare wrapText="bothSides"/>
            <wp:docPr id="2553908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180" cy="2860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93568" w:rsidRPr="0007571B">
        <w:rPr>
          <w:rFonts w:eastAsia="Times New Roman" w:cs="Calibri"/>
          <w:b/>
          <w:bCs/>
          <w:color w:val="538135"/>
          <w:u w:val="single"/>
          <w:lang w:val="nl-BE"/>
        </w:rPr>
        <w:t>Challenger</w:t>
      </w:r>
      <w:proofErr w:type="spellEnd"/>
      <w:r w:rsidR="00793568" w:rsidRPr="0007571B">
        <w:rPr>
          <w:rFonts w:eastAsia="Times New Roman" w:cs="Calibri"/>
          <w:b/>
          <w:bCs/>
          <w:color w:val="538135"/>
          <w:u w:val="single"/>
          <w:lang w:val="nl-BE"/>
        </w:rPr>
        <w:t> :</w:t>
      </w:r>
      <w:r w:rsidR="00793568" w:rsidRPr="0007571B">
        <w:rPr>
          <w:rFonts w:ascii="Calibri" w:eastAsia="Times New Roman" w:hAnsi="Calibri" w:cs="Calibri"/>
          <w:b/>
          <w:color w:val="538135"/>
          <w:szCs w:val="22"/>
          <w:lang w:val="nl-BE" w:eastAsia="fr-FR"/>
        </w:rPr>
        <w:t xml:space="preserve"> </w:t>
      </w:r>
      <w:r w:rsidR="0007571B" w:rsidRPr="0007571B">
        <w:rPr>
          <w:rFonts w:ascii="Calibri" w:eastAsia="Times New Roman" w:hAnsi="Calibri" w:cs="Calibri"/>
          <w:bCs/>
          <w:color w:val="538135"/>
          <w:szCs w:val="22"/>
          <w:lang w:val="nl-BE" w:eastAsia="fr-FR"/>
        </w:rPr>
        <w:t xml:space="preserve">Vanuit een initiële productie die lager was dan vorig jaar (250.000 ton vs. 290.000 ton) werd </w:t>
      </w:r>
      <w:proofErr w:type="spellStart"/>
      <w:r w:rsidR="0007571B" w:rsidRPr="0007571B">
        <w:rPr>
          <w:rFonts w:ascii="Calibri" w:eastAsia="Times New Roman" w:hAnsi="Calibri" w:cs="Calibri"/>
          <w:bCs/>
          <w:color w:val="538135"/>
          <w:szCs w:val="22"/>
          <w:lang w:val="nl-BE" w:eastAsia="fr-FR"/>
        </w:rPr>
        <w:t>Challenger</w:t>
      </w:r>
      <w:proofErr w:type="spellEnd"/>
      <w:r w:rsidR="0007571B" w:rsidRPr="0007571B">
        <w:rPr>
          <w:rFonts w:ascii="Calibri" w:eastAsia="Times New Roman" w:hAnsi="Calibri" w:cs="Calibri"/>
          <w:bCs/>
          <w:color w:val="538135"/>
          <w:szCs w:val="22"/>
          <w:lang w:val="nl-BE" w:eastAsia="fr-FR"/>
        </w:rPr>
        <w:t xml:space="preserve"> aanzienlijk verminderd tussen half november en begin februari (90.000 ton verplaatst, bijna 40% van de initiële productie), waardoor er minder dan 100.000 ton in de Belgische opslagruimtes zou overblijven. Deze voorraad is grotendeels vrij (56%, wat overeenkomt met 50.000 ton), terwijl de contracten slechts 40.000 ton zouden omvatten. Deze cijfers bevestigen dat </w:t>
      </w:r>
      <w:proofErr w:type="spellStart"/>
      <w:r w:rsidR="0007571B" w:rsidRPr="0007571B">
        <w:rPr>
          <w:rFonts w:ascii="Calibri" w:eastAsia="Times New Roman" w:hAnsi="Calibri" w:cs="Calibri"/>
          <w:bCs/>
          <w:color w:val="538135"/>
          <w:szCs w:val="22"/>
          <w:lang w:val="nl-BE" w:eastAsia="fr-FR"/>
        </w:rPr>
        <w:t>Challenger</w:t>
      </w:r>
      <w:proofErr w:type="spellEnd"/>
      <w:r w:rsidR="0007571B" w:rsidRPr="0007571B">
        <w:rPr>
          <w:rFonts w:ascii="Calibri" w:eastAsia="Times New Roman" w:hAnsi="Calibri" w:cs="Calibri"/>
          <w:bCs/>
          <w:color w:val="538135"/>
          <w:szCs w:val="22"/>
          <w:lang w:val="nl-BE" w:eastAsia="fr-FR"/>
        </w:rPr>
        <w:t xml:space="preserve"> minder dekking biedt voor het aanbod van fabrieken dan voorheen aan het einde van het seizoen.</w:t>
      </w:r>
    </w:p>
    <w:p w14:paraId="5DCD66CE" w14:textId="77777777" w:rsidR="0007571B" w:rsidRPr="0007571B" w:rsidRDefault="0007571B" w:rsidP="0007571B">
      <w:pPr>
        <w:spacing w:after="0"/>
        <w:rPr>
          <w:rFonts w:ascii="Calibri" w:eastAsia="Times New Roman" w:hAnsi="Calibri" w:cs="Calibri"/>
          <w:b/>
          <w:color w:val="538135"/>
          <w:szCs w:val="22"/>
          <w:lang w:val="nl-BE" w:eastAsia="fr-FR"/>
        </w:rPr>
      </w:pPr>
    </w:p>
    <w:p w14:paraId="2BEDE6E5" w14:textId="77777777" w:rsidR="0007571B" w:rsidRPr="0007571B" w:rsidRDefault="0007571B" w:rsidP="0007571B">
      <w:pPr>
        <w:spacing w:after="0"/>
        <w:rPr>
          <w:rFonts w:ascii="Calibri" w:eastAsia="Times New Roman" w:hAnsi="Calibri" w:cs="Calibri"/>
          <w:b/>
          <w:color w:val="538135"/>
          <w:szCs w:val="22"/>
          <w:lang w:val="nl-BE" w:eastAsia="fr-FR"/>
        </w:rPr>
      </w:pPr>
    </w:p>
    <w:p w14:paraId="60BFB4E8" w14:textId="77777777" w:rsidR="0007571B" w:rsidRPr="0007571B" w:rsidRDefault="0007571B" w:rsidP="0007571B">
      <w:pPr>
        <w:spacing w:after="0"/>
        <w:rPr>
          <w:rFonts w:ascii="Calibri" w:eastAsia="Times New Roman" w:hAnsi="Calibri" w:cs="Calibri"/>
          <w:b/>
          <w:color w:val="538135"/>
          <w:szCs w:val="22"/>
          <w:lang w:val="nl-BE" w:eastAsia="fr-FR"/>
        </w:rPr>
      </w:pPr>
    </w:p>
    <w:p w14:paraId="358C20B1" w14:textId="77777777" w:rsidR="0007571B" w:rsidRPr="0007571B" w:rsidRDefault="0007571B" w:rsidP="0007571B">
      <w:pPr>
        <w:spacing w:after="0"/>
        <w:rPr>
          <w:rFonts w:ascii="Calibri" w:eastAsia="Times New Roman" w:hAnsi="Calibri" w:cs="Calibri"/>
          <w:b/>
          <w:color w:val="538135"/>
          <w:szCs w:val="22"/>
          <w:lang w:val="nl-BE" w:eastAsia="fr-FR"/>
        </w:rPr>
      </w:pPr>
    </w:p>
    <w:p w14:paraId="34238054" w14:textId="5BCEFC2B" w:rsidR="00C74822" w:rsidRPr="0007571B" w:rsidRDefault="00C74822" w:rsidP="00793568">
      <w:pPr>
        <w:spacing w:after="0"/>
        <w:rPr>
          <w:rFonts w:eastAsia="Times New Roman" w:cs="Calibri"/>
          <w:bCs/>
          <w:szCs w:val="22"/>
          <w:lang w:val="nl-BE" w:eastAsia="fr-FR"/>
        </w:rPr>
      </w:pPr>
    </w:p>
    <w:p w14:paraId="60127C53" w14:textId="77777777" w:rsidR="00C74822" w:rsidRPr="0007571B" w:rsidRDefault="00C74822" w:rsidP="00793568">
      <w:pPr>
        <w:spacing w:after="0"/>
        <w:rPr>
          <w:rFonts w:eastAsia="Times New Roman" w:cs="Calibri"/>
          <w:bCs/>
          <w:sz w:val="16"/>
          <w:szCs w:val="16"/>
          <w:highlight w:val="red"/>
          <w:lang w:val="nl-BE" w:eastAsia="fr-FR"/>
        </w:rPr>
      </w:pPr>
    </w:p>
    <w:p w14:paraId="377AA112" w14:textId="3794FEB5" w:rsidR="00793568" w:rsidRPr="0007571B" w:rsidRDefault="00C74822" w:rsidP="00793568">
      <w:pPr>
        <w:spacing w:after="0"/>
        <w:rPr>
          <w:rFonts w:ascii="Calibri" w:eastAsia="Times New Roman" w:hAnsi="Calibri" w:cs="Calibri"/>
          <w:b/>
          <w:bCs/>
          <w:sz w:val="24"/>
          <w:szCs w:val="24"/>
          <w:highlight w:val="red"/>
          <w:u w:val="single"/>
          <w:lang w:val="nl-BE" w:eastAsia="fr-FR"/>
        </w:rPr>
        <w:sectPr w:rsidR="00793568" w:rsidRPr="0007571B" w:rsidSect="0033275A">
          <w:type w:val="continuous"/>
          <w:pgSz w:w="11906" w:h="16838" w:code="9"/>
          <w:pgMar w:top="539" w:right="851" w:bottom="284" w:left="851" w:header="709" w:footer="283" w:gutter="0"/>
          <w:cols w:num="2" w:space="170" w:equalWidth="0">
            <w:col w:w="3121" w:space="170"/>
            <w:col w:w="6913"/>
          </w:cols>
          <w:docGrid w:linePitch="360"/>
        </w:sectPr>
      </w:pPr>
      <w:r w:rsidRPr="0007571B">
        <w:rPr>
          <w:rFonts w:eastAsia="Times New Roman" w:cs="Calibri"/>
          <w:bCs/>
          <w:szCs w:val="22"/>
          <w:highlight w:val="red"/>
          <w:lang w:val="nl-BE" w:eastAsia="fr-FR"/>
        </w:rPr>
        <w:t xml:space="preserve"> </w:t>
      </w:r>
    </w:p>
    <w:p w14:paraId="76820614" w14:textId="1699C066" w:rsidR="00793568" w:rsidRPr="00A351AE" w:rsidRDefault="00793568" w:rsidP="00793568">
      <w:pPr>
        <w:spacing w:after="0"/>
        <w:rPr>
          <w:rFonts w:eastAsia="Times New Roman" w:cs="Calibri"/>
          <w:szCs w:val="22"/>
          <w:lang w:val="nl-BE" w:eastAsia="fr-FR"/>
        </w:rPr>
      </w:pPr>
      <w:proofErr w:type="spellStart"/>
      <w:r w:rsidRPr="002A2033">
        <w:rPr>
          <w:rFonts w:eastAsia="Times New Roman" w:cs="Calibri"/>
          <w:b/>
          <w:bCs/>
          <w:color w:val="538135"/>
          <w:szCs w:val="22"/>
          <w:u w:val="single"/>
          <w:lang w:val="nl-BE" w:eastAsia="fr-FR"/>
        </w:rPr>
        <w:t>Fontane</w:t>
      </w:r>
      <w:proofErr w:type="spellEnd"/>
      <w:r w:rsidRPr="002A2033">
        <w:rPr>
          <w:rFonts w:eastAsia="Times New Roman" w:cs="Calibri"/>
          <w:b/>
          <w:bCs/>
          <w:color w:val="538135"/>
          <w:szCs w:val="22"/>
          <w:u w:val="single"/>
          <w:lang w:val="nl-BE" w:eastAsia="fr-FR"/>
        </w:rPr>
        <w:t> :</w:t>
      </w:r>
      <w:r w:rsidRPr="002A2033">
        <w:rPr>
          <w:rFonts w:eastAsia="Times New Roman" w:cs="Calibri"/>
          <w:color w:val="538135"/>
          <w:szCs w:val="22"/>
          <w:lang w:val="nl-BE" w:eastAsia="fr-FR"/>
        </w:rPr>
        <w:t xml:space="preserve"> </w:t>
      </w:r>
      <w:r w:rsidR="002A2033" w:rsidRPr="002A2033">
        <w:rPr>
          <w:rFonts w:eastAsia="Times New Roman" w:cs="Calibri"/>
          <w:color w:val="538135"/>
          <w:szCs w:val="22"/>
          <w:lang w:val="nl-BE" w:eastAsia="fr-FR"/>
        </w:rPr>
        <w:t xml:space="preserve">Met een geschatte hoeveelheid van 1,85 miljoen ton begin februari domineert </w:t>
      </w:r>
      <w:proofErr w:type="spellStart"/>
      <w:r w:rsidR="002A2033" w:rsidRPr="002A2033">
        <w:rPr>
          <w:rFonts w:eastAsia="Times New Roman" w:cs="Calibri"/>
          <w:color w:val="538135"/>
          <w:szCs w:val="22"/>
          <w:lang w:val="nl-BE" w:eastAsia="fr-FR"/>
        </w:rPr>
        <w:t>Fontane</w:t>
      </w:r>
      <w:proofErr w:type="spellEnd"/>
      <w:r w:rsidR="002A2033" w:rsidRPr="002A2033">
        <w:rPr>
          <w:rFonts w:eastAsia="Times New Roman" w:cs="Calibri"/>
          <w:color w:val="538135"/>
          <w:szCs w:val="22"/>
          <w:lang w:val="nl-BE" w:eastAsia="fr-FR"/>
        </w:rPr>
        <w:t xml:space="preserve"> de Belgische voorraden. Dit is 320.000 ton meer dan vorig jaar. Het is ook de hoogste geregistreerde hoeveelheid, waarbij het driemaandelijks gemiddelde 1,61 miljoen ton bedraagt. Het merendeel van de </w:t>
      </w:r>
      <w:proofErr w:type="spellStart"/>
      <w:r w:rsidR="002A2033" w:rsidRPr="002A2033">
        <w:rPr>
          <w:rFonts w:eastAsia="Times New Roman" w:cs="Calibri"/>
          <w:color w:val="538135"/>
          <w:szCs w:val="22"/>
          <w:lang w:val="nl-BE" w:eastAsia="fr-FR"/>
        </w:rPr>
        <w:t>Fontane</w:t>
      </w:r>
      <w:proofErr w:type="spellEnd"/>
      <w:r w:rsidR="002A2033" w:rsidRPr="002A2033">
        <w:rPr>
          <w:rFonts w:eastAsia="Times New Roman" w:cs="Calibri"/>
          <w:color w:val="538135"/>
          <w:szCs w:val="22"/>
          <w:lang w:val="nl-BE" w:eastAsia="fr-FR"/>
        </w:rPr>
        <w:t xml:space="preserve">-voorraad staat onder contract (1,31 miljoen ton), wat 100.000 ton meer is dan vorig jaar en 120.000 ton meer dan het driemaandelijks gemiddelde. Maar met een geschatte hoeveelheid van 540.000 ton zijn de vrije voorraden ook de hoogste van de afgelopen 5 jaar. </w:t>
      </w:r>
      <w:r w:rsidR="002A2033" w:rsidRPr="00A351AE">
        <w:rPr>
          <w:rFonts w:eastAsia="Times New Roman" w:cs="Calibri"/>
          <w:color w:val="538135"/>
          <w:szCs w:val="22"/>
          <w:lang w:val="nl-BE" w:eastAsia="fr-FR"/>
        </w:rPr>
        <w:t xml:space="preserve">Ze waren </w:t>
      </w:r>
      <w:r w:rsidR="00531A87" w:rsidRPr="00531A87">
        <w:rPr>
          <w:noProof/>
        </w:rPr>
        <w:drawing>
          <wp:anchor distT="0" distB="0" distL="114300" distR="114300" simplePos="0" relativeHeight="251667456" behindDoc="0" locked="0" layoutInCell="1" allowOverlap="1" wp14:anchorId="75EB5EB2" wp14:editId="2F202138">
            <wp:simplePos x="0" y="0"/>
            <wp:positionH relativeFrom="margin">
              <wp:posOffset>2171065</wp:posOffset>
            </wp:positionH>
            <wp:positionV relativeFrom="page">
              <wp:posOffset>685165</wp:posOffset>
            </wp:positionV>
            <wp:extent cx="4375150" cy="2867025"/>
            <wp:effectExtent l="0" t="0" r="6350" b="9525"/>
            <wp:wrapSquare wrapText="bothSides"/>
            <wp:docPr id="14924744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1AE" w:rsidRPr="00A351AE">
        <w:rPr>
          <w:lang w:val="nl-BE"/>
        </w:rPr>
        <w:t xml:space="preserve"> </w:t>
      </w:r>
      <w:r w:rsidR="00A351AE" w:rsidRPr="00A351AE">
        <w:rPr>
          <w:rFonts w:eastAsia="Times New Roman" w:cs="Calibri"/>
          <w:color w:val="538135"/>
          <w:szCs w:val="22"/>
          <w:lang w:val="nl-BE" w:eastAsia="fr-FR"/>
        </w:rPr>
        <w:t>vorig jaar 320.000 ton bedroegen. Tussen half november en begin februari werd 340.000 ton vrijgegeven, wat overeenkomt met de twee voorgaande jaren.</w:t>
      </w:r>
      <w:r w:rsidRPr="00A351AE">
        <w:rPr>
          <w:rFonts w:eastAsia="Times New Roman" w:cs="Calibri"/>
          <w:szCs w:val="22"/>
          <w:lang w:val="nl-BE" w:eastAsia="fr-FR"/>
        </w:rPr>
        <w:t xml:space="preserve"> </w:t>
      </w:r>
    </w:p>
    <w:p w14:paraId="1491FF25" w14:textId="2A598A9D" w:rsidR="00936127" w:rsidRPr="00A351AE" w:rsidRDefault="00936127" w:rsidP="00793568">
      <w:pPr>
        <w:spacing w:after="0"/>
        <w:rPr>
          <w:rFonts w:eastAsia="Times New Roman" w:cs="Calibri"/>
          <w:b/>
          <w:bCs/>
          <w:color w:val="538135"/>
          <w:sz w:val="16"/>
          <w:szCs w:val="16"/>
          <w:highlight w:val="red"/>
          <w:u w:val="single"/>
          <w:lang w:val="nl-BE" w:eastAsia="fr-FR"/>
        </w:rPr>
      </w:pPr>
    </w:p>
    <w:p w14:paraId="7A8C7A9A" w14:textId="029F6354" w:rsidR="00793568" w:rsidRPr="00FC50D8" w:rsidRDefault="00793568" w:rsidP="00793568">
      <w:pPr>
        <w:spacing w:after="0"/>
        <w:rPr>
          <w:rFonts w:eastAsia="Times New Roman" w:cs="Calibri"/>
          <w:szCs w:val="22"/>
          <w:lang w:val="nl-BE" w:eastAsia="fr-FR"/>
        </w:rPr>
      </w:pPr>
      <w:r w:rsidRPr="00FC50D8">
        <w:rPr>
          <w:rFonts w:eastAsia="Times New Roman" w:cs="Calibri"/>
          <w:b/>
          <w:bCs/>
          <w:color w:val="538135"/>
          <w:szCs w:val="22"/>
          <w:u w:val="single"/>
          <w:lang w:val="nl-BE" w:eastAsia="fr-FR"/>
        </w:rPr>
        <w:t>Innovator :</w:t>
      </w:r>
      <w:r w:rsidRPr="00FC50D8">
        <w:rPr>
          <w:rFonts w:eastAsia="Times New Roman" w:cs="Calibri"/>
          <w:color w:val="538135"/>
          <w:szCs w:val="22"/>
          <w:lang w:val="nl-BE" w:eastAsia="fr-FR"/>
        </w:rPr>
        <w:t xml:space="preserve"> </w:t>
      </w:r>
      <w:r w:rsidR="00FC50D8" w:rsidRPr="00FC50D8">
        <w:rPr>
          <w:rFonts w:eastAsia="Times New Roman" w:cs="Calibri"/>
          <w:color w:val="538135"/>
          <w:szCs w:val="22"/>
          <w:lang w:val="nl-BE" w:eastAsia="fr-FR"/>
        </w:rPr>
        <w:t>Het onderzoek schat de voorraden Innovator op 60.000 ton, wat de helft is van vorig jaar. Het gemiddelde van de afgelopen 3 jaar is 140.000 ton. Het vrije deel is zeer beperkt (minder dan 20.000 ton). De markten lijken de initiële oogst zeer intensief te hebben vrijgegeven, met bijna 120.000 ton verplaatst tussen half november en begin februari.</w:t>
      </w:r>
    </w:p>
    <w:p w14:paraId="1D81BB33" w14:textId="77777777" w:rsidR="00A351AE" w:rsidRPr="00FC50D8" w:rsidRDefault="00A351AE" w:rsidP="00793568">
      <w:pPr>
        <w:spacing w:after="0"/>
        <w:rPr>
          <w:rFonts w:eastAsia="Times New Roman" w:cs="Calibri"/>
          <w:szCs w:val="22"/>
          <w:lang w:val="nl-BE" w:eastAsia="fr-FR"/>
        </w:rPr>
      </w:pPr>
    </w:p>
    <w:p w14:paraId="50675D1E" w14:textId="29E9CA8D" w:rsidR="00825FC3" w:rsidRPr="00FC50D8" w:rsidRDefault="00F633C3" w:rsidP="00793568">
      <w:pPr>
        <w:spacing w:after="0"/>
        <w:rPr>
          <w:rFonts w:eastAsia="Times New Roman" w:cs="Calibri"/>
          <w:sz w:val="24"/>
          <w:szCs w:val="24"/>
          <w:highlight w:val="red"/>
          <w:lang w:val="nl-BE" w:eastAsia="fr-FR"/>
        </w:rPr>
      </w:pPr>
      <w:r w:rsidRPr="00825FC3">
        <w:rPr>
          <w:noProof/>
        </w:rPr>
        <w:drawing>
          <wp:anchor distT="0" distB="0" distL="114300" distR="114300" simplePos="0" relativeHeight="251668480" behindDoc="0" locked="0" layoutInCell="1" allowOverlap="1" wp14:anchorId="47FA1C2C" wp14:editId="090C3ECC">
            <wp:simplePos x="0" y="0"/>
            <wp:positionH relativeFrom="margin">
              <wp:align>right</wp:align>
            </wp:positionH>
            <wp:positionV relativeFrom="page">
              <wp:posOffset>3804285</wp:posOffset>
            </wp:positionV>
            <wp:extent cx="4309110" cy="2824480"/>
            <wp:effectExtent l="0" t="0" r="0" b="0"/>
            <wp:wrapSquare wrapText="bothSides"/>
            <wp:docPr id="10210763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9110"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859B5" w14:textId="77777777" w:rsidR="00793568" w:rsidRPr="00FC50D8" w:rsidRDefault="00793568" w:rsidP="00793568">
      <w:pPr>
        <w:spacing w:after="0"/>
        <w:rPr>
          <w:rFonts w:eastAsia="Times New Roman" w:cs="Calibri"/>
          <w:b/>
          <w:bCs/>
          <w:sz w:val="24"/>
          <w:szCs w:val="24"/>
          <w:highlight w:val="red"/>
          <w:u w:val="single"/>
          <w:lang w:val="nl-BE" w:eastAsia="fr-FR"/>
        </w:rPr>
        <w:sectPr w:rsidR="00793568" w:rsidRPr="00FC50D8" w:rsidSect="0033275A">
          <w:type w:val="continuous"/>
          <w:pgSz w:w="11906" w:h="16838" w:code="9"/>
          <w:pgMar w:top="539" w:right="851" w:bottom="284" w:left="851" w:header="709" w:footer="155" w:gutter="0"/>
          <w:cols w:num="2" w:space="170" w:equalWidth="0">
            <w:col w:w="3121" w:space="170"/>
            <w:col w:w="6913"/>
          </w:cols>
          <w:docGrid w:linePitch="360"/>
        </w:sectPr>
      </w:pPr>
    </w:p>
    <w:p w14:paraId="592E55D4" w14:textId="016783EB" w:rsidR="0030777B" w:rsidRPr="002E2BCE" w:rsidRDefault="00793568" w:rsidP="00793568">
      <w:pPr>
        <w:spacing w:after="0"/>
        <w:rPr>
          <w:rFonts w:eastAsia="Times New Roman" w:cs="Calibri"/>
          <w:sz w:val="24"/>
          <w:szCs w:val="24"/>
          <w:lang w:val="nl-BE" w:eastAsia="fr-FR"/>
        </w:rPr>
      </w:pPr>
      <w:proofErr w:type="spellStart"/>
      <w:r w:rsidRPr="002E2BCE">
        <w:rPr>
          <w:rFonts w:eastAsia="Times New Roman" w:cs="Calibri"/>
          <w:b/>
          <w:bCs/>
          <w:color w:val="538135"/>
          <w:szCs w:val="22"/>
          <w:u w:val="single"/>
          <w:lang w:val="nl-BE" w:eastAsia="fr-FR"/>
        </w:rPr>
        <w:t>Autres</w:t>
      </w:r>
      <w:proofErr w:type="spellEnd"/>
      <w:r w:rsidRPr="002E2BCE">
        <w:rPr>
          <w:rFonts w:eastAsia="Times New Roman" w:cs="Calibri"/>
          <w:b/>
          <w:bCs/>
          <w:color w:val="538135"/>
          <w:szCs w:val="22"/>
          <w:u w:val="single"/>
          <w:lang w:val="nl-BE" w:eastAsia="fr-FR"/>
        </w:rPr>
        <w:t xml:space="preserve"> variétés de </w:t>
      </w:r>
      <w:proofErr w:type="spellStart"/>
      <w:r w:rsidRPr="002E2BCE">
        <w:rPr>
          <w:rFonts w:eastAsia="Times New Roman" w:cs="Calibri"/>
          <w:b/>
          <w:bCs/>
          <w:color w:val="538135"/>
          <w:szCs w:val="22"/>
          <w:u w:val="single"/>
          <w:lang w:val="nl-BE" w:eastAsia="fr-FR"/>
        </w:rPr>
        <w:t>conservation</w:t>
      </w:r>
      <w:proofErr w:type="spellEnd"/>
      <w:r w:rsidRPr="002E2BCE">
        <w:rPr>
          <w:rFonts w:eastAsia="Times New Roman" w:cs="Calibri"/>
          <w:b/>
          <w:bCs/>
          <w:color w:val="538135"/>
          <w:szCs w:val="22"/>
          <w:u w:val="single"/>
          <w:lang w:val="nl-BE" w:eastAsia="fr-FR"/>
        </w:rPr>
        <w:t> :</w:t>
      </w:r>
      <w:r w:rsidRPr="002E2BCE">
        <w:rPr>
          <w:rFonts w:eastAsia="Times New Roman" w:cs="Calibri"/>
          <w:color w:val="538135"/>
          <w:szCs w:val="22"/>
          <w:lang w:val="nl-BE" w:eastAsia="fr-FR"/>
        </w:rPr>
        <w:t xml:space="preserve"> </w:t>
      </w:r>
      <w:r w:rsidR="002E2BCE" w:rsidRPr="002E2BCE">
        <w:rPr>
          <w:rFonts w:eastAsia="Times New Roman" w:cs="Calibri"/>
          <w:color w:val="538135"/>
          <w:szCs w:val="22"/>
          <w:lang w:val="nl-BE" w:eastAsia="fr-FR"/>
        </w:rPr>
        <w:t>Met 470.000 ton geschatte voorraden op 1 februari, zijn de voorraden aanzienlijk lager dan vorig jaar (570.000 ton). De initiële productie was echter groter dan in 2022 (920.000 ton versus 850.000 ton), maar de vrijgaven waren zeer intens, vooral tussen november en februari (210.000 ton). De huidige voorraad staat voor 80% onder contract (370.000 ton), waarbij de vrije voorraad wordt geschat op minder dan 100.000 ton.</w:t>
      </w:r>
    </w:p>
    <w:p w14:paraId="3ECB04CE" w14:textId="7FD14B76" w:rsidR="00793568" w:rsidRPr="002E2BCE" w:rsidRDefault="00793568" w:rsidP="00793568">
      <w:pPr>
        <w:spacing w:after="0"/>
        <w:rPr>
          <w:rFonts w:ascii="Calibri" w:eastAsia="Times New Roman" w:hAnsi="Calibri" w:cs="Calibri"/>
          <w:sz w:val="24"/>
          <w:szCs w:val="24"/>
          <w:highlight w:val="red"/>
          <w:lang w:val="nl-BE" w:eastAsia="fr-FR"/>
        </w:rPr>
      </w:pPr>
    </w:p>
    <w:p w14:paraId="0D843273" w14:textId="77777777" w:rsidR="00793568" w:rsidRPr="002E2BCE" w:rsidRDefault="00793568" w:rsidP="00793568">
      <w:pPr>
        <w:spacing w:after="0"/>
        <w:rPr>
          <w:rFonts w:ascii="Calibri" w:eastAsia="Times New Roman" w:hAnsi="Calibri" w:cs="Calibri"/>
          <w:sz w:val="24"/>
          <w:szCs w:val="24"/>
          <w:highlight w:val="red"/>
          <w:lang w:val="nl-BE" w:eastAsia="fr-FR"/>
        </w:rPr>
        <w:sectPr w:rsidR="00793568" w:rsidRPr="002E2BCE" w:rsidSect="0033275A">
          <w:type w:val="continuous"/>
          <w:pgSz w:w="11906" w:h="16838" w:code="9"/>
          <w:pgMar w:top="539" w:right="851" w:bottom="284" w:left="851" w:header="709" w:footer="567" w:gutter="0"/>
          <w:cols w:num="2" w:space="170" w:equalWidth="0">
            <w:col w:w="3121" w:space="170"/>
            <w:col w:w="6913"/>
          </w:cols>
          <w:docGrid w:linePitch="360"/>
        </w:sectPr>
      </w:pPr>
    </w:p>
    <w:p w14:paraId="05C21CCD" w14:textId="77777777" w:rsidR="005C7344" w:rsidRPr="007271FF" w:rsidRDefault="005C7344" w:rsidP="002D0E3E">
      <w:pPr>
        <w:pStyle w:val="Bijschrift"/>
        <w:rPr>
          <w:rFonts w:eastAsia="Times New Roman" w:cs="Calibri"/>
          <w:b w:val="0"/>
          <w:bCs w:val="0"/>
          <w:color w:val="auto"/>
          <w:sz w:val="22"/>
          <w:szCs w:val="22"/>
          <w:lang w:val="nl-BE" w:eastAsia="fr-FR"/>
        </w:rPr>
      </w:pPr>
    </w:p>
    <w:p w14:paraId="63667320" w14:textId="4858F089" w:rsidR="003112A3" w:rsidRPr="007271FF" w:rsidRDefault="003112A3" w:rsidP="003112A3">
      <w:pPr>
        <w:rPr>
          <w:b/>
          <w:bCs/>
          <w:lang w:val="nl-BE" w:eastAsia="fr-FR"/>
        </w:rPr>
        <w:sectPr w:rsidR="003112A3" w:rsidRPr="007271FF" w:rsidSect="0033275A">
          <w:type w:val="continuous"/>
          <w:pgSz w:w="11906" w:h="16838" w:code="9"/>
          <w:pgMar w:top="539" w:right="851" w:bottom="284" w:left="851" w:header="709" w:footer="283" w:gutter="0"/>
          <w:cols w:space="708"/>
          <w:docGrid w:linePitch="360"/>
        </w:sectPr>
      </w:pPr>
      <w:r w:rsidRPr="007271FF">
        <w:rPr>
          <w:b/>
          <w:bCs/>
          <w:lang w:val="nl-BE" w:eastAsia="fr-FR"/>
        </w:rPr>
        <w:t>Afwikkeling van de oogst 2023</w:t>
      </w:r>
    </w:p>
    <w:p w14:paraId="68EF39CF"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r w:rsidRPr="00515251">
        <w:rPr>
          <w:rFonts w:ascii="Times New Roman" w:eastAsia="Times New Roman" w:hAnsi="Times New Roman" w:cs="Times New Roman"/>
          <w:b w:val="0"/>
          <w:bCs w:val="0"/>
          <w:sz w:val="24"/>
          <w:szCs w:val="24"/>
          <w:lang w:val="nl-BE" w:eastAsia="fr-FR"/>
        </w:rPr>
        <w:t>Tussen de oogst en 1 februari zijn er 1,89 miljoen ton aardappelen geleverd (waarvan 0,26 miljoen ton vroege aardappelen). Dit is 15% meer dan de afgelopen 3 jaar (1,65 miljoen ton) en 9% meer dan de gemiddelde van de afgelopen 5 jaar (1,73 miljoen ton). De overvloedige initiële oogst in 2023 voorziet intensief in de behoeften van de aardappelverwerkende industrie.</w:t>
      </w:r>
    </w:p>
    <w:p w14:paraId="3C89AF9D"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p>
    <w:p w14:paraId="0922E5B7"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r w:rsidRPr="00515251">
        <w:rPr>
          <w:rFonts w:ascii="Times New Roman" w:eastAsia="Times New Roman" w:hAnsi="Times New Roman" w:cs="Times New Roman"/>
          <w:b w:val="0"/>
          <w:bCs w:val="0"/>
          <w:sz w:val="24"/>
          <w:szCs w:val="24"/>
          <w:lang w:val="nl-BE" w:eastAsia="fr-FR"/>
        </w:rPr>
        <w:t>Vóór half november was al ongeveer 850.000 ton consumptieaardappelen geleverd. Met de vroege aardappelen komt dit neer op 1,10 miljoen ton (9% meer dan het vijfjarig gemiddelde), wat overeenkomt met 20% van de initiële oogst van consumptieaardappelen (een proportie in lijn met voorgaande jaren). Twee derde van deze verkopen was contractueel (13%) en een derde was op de vrije markt (7%).</w:t>
      </w:r>
    </w:p>
    <w:p w14:paraId="1AD3627E"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p>
    <w:p w14:paraId="3A763A6A"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r w:rsidRPr="00515251">
        <w:rPr>
          <w:rFonts w:ascii="Times New Roman" w:eastAsia="Times New Roman" w:hAnsi="Times New Roman" w:cs="Times New Roman"/>
          <w:b w:val="0"/>
          <w:bCs w:val="0"/>
          <w:sz w:val="24"/>
          <w:szCs w:val="24"/>
          <w:lang w:val="nl-BE" w:eastAsia="fr-FR"/>
        </w:rPr>
        <w:t xml:space="preserve">Markten hebben in het begin van het seizoen veel meer </w:t>
      </w:r>
      <w:proofErr w:type="spellStart"/>
      <w:r w:rsidRPr="00515251">
        <w:rPr>
          <w:rFonts w:ascii="Times New Roman" w:eastAsia="Times New Roman" w:hAnsi="Times New Roman" w:cs="Times New Roman"/>
          <w:b w:val="0"/>
          <w:bCs w:val="0"/>
          <w:sz w:val="24"/>
          <w:szCs w:val="24"/>
          <w:lang w:val="nl-BE" w:eastAsia="fr-FR"/>
        </w:rPr>
        <w:t>Fontane</w:t>
      </w:r>
      <w:proofErr w:type="spellEnd"/>
      <w:r w:rsidRPr="00515251">
        <w:rPr>
          <w:rFonts w:ascii="Times New Roman" w:eastAsia="Times New Roman" w:hAnsi="Times New Roman" w:cs="Times New Roman"/>
          <w:b w:val="0"/>
          <w:bCs w:val="0"/>
          <w:sz w:val="24"/>
          <w:szCs w:val="24"/>
          <w:lang w:val="nl-BE" w:eastAsia="fr-FR"/>
        </w:rPr>
        <w:t xml:space="preserve"> verkocht dan vorig jaar (370.000 ton versus 260.000 ton, een toename van 40%!). Deze verschuiving betreft voornamelijk de contractuele handel. Maar er zijn ook meer Innovator, Bintje en "andere variëteiten" verkocht.</w:t>
      </w:r>
    </w:p>
    <w:p w14:paraId="64ABC8A6" w14:textId="77777777" w:rsidR="00515251" w:rsidRPr="00515251" w:rsidRDefault="00515251" w:rsidP="00515251">
      <w:pPr>
        <w:pStyle w:val="Bijschrift"/>
        <w:rPr>
          <w:rFonts w:ascii="Times New Roman" w:eastAsia="Times New Roman" w:hAnsi="Times New Roman" w:cs="Times New Roman"/>
          <w:b w:val="0"/>
          <w:bCs w:val="0"/>
          <w:sz w:val="24"/>
          <w:szCs w:val="24"/>
          <w:lang w:val="nl-BE" w:eastAsia="fr-FR"/>
        </w:rPr>
      </w:pPr>
    </w:p>
    <w:p w14:paraId="6C5B7886" w14:textId="2D3D87D6" w:rsidR="005C7344" w:rsidRPr="00515251" w:rsidRDefault="00515251" w:rsidP="00515251">
      <w:pPr>
        <w:pStyle w:val="Bijschrift"/>
        <w:rPr>
          <w:rFonts w:ascii="Times New Roman" w:eastAsia="Times New Roman" w:hAnsi="Times New Roman" w:cs="Times New Roman"/>
          <w:b w:val="0"/>
          <w:bCs w:val="0"/>
          <w:sz w:val="24"/>
          <w:szCs w:val="24"/>
          <w:highlight w:val="red"/>
          <w:lang w:val="nl-BE" w:eastAsia="fr-FR"/>
        </w:rPr>
        <w:sectPr w:rsidR="005C7344" w:rsidRPr="00515251" w:rsidSect="0033275A">
          <w:type w:val="continuous"/>
          <w:pgSz w:w="11906" w:h="16838" w:code="9"/>
          <w:pgMar w:top="539" w:right="851" w:bottom="284" w:left="851" w:header="709" w:footer="283" w:gutter="0"/>
          <w:cols w:num="2" w:sep="1" w:space="709"/>
          <w:docGrid w:linePitch="360"/>
        </w:sectPr>
      </w:pPr>
      <w:r w:rsidRPr="00515251">
        <w:rPr>
          <w:rFonts w:ascii="Times New Roman" w:eastAsia="Times New Roman" w:hAnsi="Times New Roman" w:cs="Times New Roman"/>
          <w:b w:val="0"/>
          <w:bCs w:val="0"/>
          <w:sz w:val="24"/>
          <w:szCs w:val="24"/>
          <w:lang w:val="nl-BE" w:eastAsia="fr-FR"/>
        </w:rPr>
        <w:t xml:space="preserve">Tussen half november en begin februari is er 790.000 ton uit de Belgische opslagplaatsen gehaald (11% meer dan het vijfjarig gemiddelde). Voor een dergelijk hoog cijfer moeten we teruggaan naar het seizoen 2019/2020. Twee derde van deze leveringen waren contractueel, in overeenstemming met het gebruikelijke contractuele aandeel. </w:t>
      </w:r>
      <w:proofErr w:type="spellStart"/>
      <w:r w:rsidRPr="00515251">
        <w:rPr>
          <w:rFonts w:ascii="Times New Roman" w:eastAsia="Times New Roman" w:hAnsi="Times New Roman" w:cs="Times New Roman"/>
          <w:b w:val="0"/>
          <w:bCs w:val="0"/>
          <w:sz w:val="24"/>
          <w:szCs w:val="24"/>
          <w:lang w:val="nl-BE" w:eastAsia="fr-FR"/>
        </w:rPr>
        <w:t>Fontane</w:t>
      </w:r>
      <w:proofErr w:type="spellEnd"/>
      <w:r w:rsidRPr="00515251">
        <w:rPr>
          <w:rFonts w:ascii="Times New Roman" w:eastAsia="Times New Roman" w:hAnsi="Times New Roman" w:cs="Times New Roman"/>
          <w:b w:val="0"/>
          <w:bCs w:val="0"/>
          <w:sz w:val="24"/>
          <w:szCs w:val="24"/>
          <w:lang w:val="nl-BE" w:eastAsia="fr-FR"/>
        </w:rPr>
        <w:t xml:space="preserve"> neemt meer dan 40% van de vrijgaven voor haar rekening tijdens deze periode... </w:t>
      </w:r>
      <w:proofErr w:type="spellStart"/>
      <w:r w:rsidRPr="00515251">
        <w:rPr>
          <w:rFonts w:ascii="Times New Roman" w:eastAsia="Times New Roman" w:hAnsi="Times New Roman" w:cs="Times New Roman"/>
          <w:b w:val="0"/>
          <w:bCs w:val="0"/>
          <w:sz w:val="24"/>
          <w:szCs w:val="24"/>
          <w:lang w:val="nl-BE" w:eastAsia="fr-FR"/>
        </w:rPr>
        <w:t>Challenger</w:t>
      </w:r>
      <w:proofErr w:type="spellEnd"/>
      <w:r w:rsidRPr="00515251">
        <w:rPr>
          <w:rFonts w:ascii="Times New Roman" w:eastAsia="Times New Roman" w:hAnsi="Times New Roman" w:cs="Times New Roman"/>
          <w:b w:val="0"/>
          <w:bCs w:val="0"/>
          <w:sz w:val="24"/>
          <w:szCs w:val="24"/>
          <w:lang w:val="nl-BE" w:eastAsia="fr-FR"/>
        </w:rPr>
        <w:t>, Innovator en Bintje worden vrijgegeven zoals in recente jaren. Aan de andere kant worden de "andere variëteiten" zeer sterk vrijgegeven tussen half november en begin februari, met 210.000 ton (waarvan bijna 60% onder contract) tegen slechts 50.000 ton in het drievoudig gemiddelde...</w:t>
      </w:r>
    </w:p>
    <w:p w14:paraId="686A5C57" w14:textId="77777777" w:rsidR="00001ED0" w:rsidRPr="007271FF" w:rsidRDefault="00001ED0" w:rsidP="004B73F2">
      <w:pPr>
        <w:pStyle w:val="Kop3"/>
        <w:rPr>
          <w:rFonts w:eastAsia="Times New Roman"/>
          <w:szCs w:val="22"/>
          <w:lang w:val="nl-BE" w:eastAsia="fr-FR"/>
        </w:rPr>
      </w:pPr>
    </w:p>
    <w:p w14:paraId="78664959" w14:textId="0E356363" w:rsidR="002D0E3E" w:rsidRPr="00001ED0" w:rsidRDefault="00001ED0" w:rsidP="004B73F2">
      <w:pPr>
        <w:pStyle w:val="Kop3"/>
        <w:rPr>
          <w:rFonts w:eastAsia="Times New Roman"/>
          <w:szCs w:val="22"/>
          <w:highlight w:val="red"/>
          <w:lang w:val="nl-BE" w:eastAsia="fr-FR"/>
        </w:rPr>
      </w:pPr>
      <w:r w:rsidRPr="00001ED0">
        <w:rPr>
          <w:rFonts w:eastAsia="Times New Roman"/>
          <w:szCs w:val="22"/>
          <w:u w:val="single"/>
          <w:lang w:val="nl-BE" w:eastAsia="fr-FR"/>
        </w:rPr>
        <w:t>Grafiek 7</w:t>
      </w:r>
      <w:r w:rsidRPr="00001ED0">
        <w:rPr>
          <w:rFonts w:eastAsia="Times New Roman"/>
          <w:szCs w:val="22"/>
          <w:lang w:val="nl-BE" w:eastAsia="fr-FR"/>
        </w:rPr>
        <w:t>: Afwikkeling van de oogst van consumptieaardappelen (van 2010 tot 2023)</w:t>
      </w:r>
      <w:r w:rsidR="00387B00" w:rsidRPr="00387B00">
        <w:rPr>
          <w:noProof/>
        </w:rPr>
        <w:drawing>
          <wp:inline distT="0" distB="0" distL="0" distR="0" wp14:anchorId="3FD9DD08" wp14:editId="545BA54A">
            <wp:extent cx="6479540" cy="4238625"/>
            <wp:effectExtent l="0" t="0" r="0" b="9525"/>
            <wp:docPr id="11154256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4238625"/>
                    </a:xfrm>
                    <a:prstGeom prst="rect">
                      <a:avLst/>
                    </a:prstGeom>
                    <a:noFill/>
                    <a:ln>
                      <a:noFill/>
                    </a:ln>
                  </pic:spPr>
                </pic:pic>
              </a:graphicData>
            </a:graphic>
          </wp:inline>
        </w:drawing>
      </w:r>
    </w:p>
    <w:p w14:paraId="49346298" w14:textId="3E89F948" w:rsidR="00793568" w:rsidRPr="00FF32B7" w:rsidRDefault="00D45CA7" w:rsidP="004B73F2">
      <w:pPr>
        <w:pStyle w:val="Kop3"/>
        <w:rPr>
          <w:rFonts w:eastAsia="Times New Roman"/>
          <w:szCs w:val="22"/>
          <w:lang w:val="nl-BE" w:eastAsia="fr-FR"/>
        </w:rPr>
      </w:pPr>
      <w:r w:rsidRPr="00FF32B7">
        <w:rPr>
          <w:rFonts w:eastAsia="Times New Roman"/>
          <w:szCs w:val="22"/>
          <w:lang w:val="nl-BE" w:eastAsia="fr-FR"/>
        </w:rPr>
        <w:t>Besluit</w:t>
      </w:r>
      <w:r w:rsidR="00793568" w:rsidRPr="00FF32B7">
        <w:rPr>
          <w:rFonts w:eastAsia="Times New Roman"/>
          <w:szCs w:val="22"/>
          <w:lang w:val="nl-BE" w:eastAsia="fr-FR"/>
        </w:rPr>
        <w:t> :</w:t>
      </w:r>
    </w:p>
    <w:p w14:paraId="79B72A58" w14:textId="77777777" w:rsidR="00793568" w:rsidRPr="00FF32B7" w:rsidRDefault="00793568" w:rsidP="00793568">
      <w:pPr>
        <w:spacing w:after="0"/>
        <w:contextualSpacing/>
        <w:rPr>
          <w:rFonts w:ascii="Calibri" w:eastAsia="Times New Roman" w:hAnsi="Calibri" w:cs="Calibri"/>
          <w:szCs w:val="22"/>
          <w:lang w:val="nl-BE" w:eastAsia="fr-FR"/>
        </w:rPr>
        <w:sectPr w:rsidR="00793568" w:rsidRPr="00FF32B7" w:rsidSect="0033275A">
          <w:type w:val="continuous"/>
          <w:pgSz w:w="11906" w:h="16838" w:code="9"/>
          <w:pgMar w:top="539" w:right="851" w:bottom="284" w:left="851" w:header="709" w:footer="283" w:gutter="0"/>
          <w:cols w:space="708"/>
          <w:docGrid w:linePitch="360"/>
        </w:sectPr>
      </w:pPr>
    </w:p>
    <w:p w14:paraId="0BBB36F1" w14:textId="77777777" w:rsidR="00FF32B7" w:rsidRPr="00FF32B7" w:rsidRDefault="00FF32B7" w:rsidP="00FF32B7">
      <w:pPr>
        <w:spacing w:after="0"/>
        <w:contextualSpacing/>
        <w:rPr>
          <w:rFonts w:eastAsia="Times New Roman" w:cs="Calibri"/>
          <w:szCs w:val="22"/>
          <w:lang w:val="nl-BE" w:eastAsia="fr-FR"/>
        </w:rPr>
      </w:pPr>
      <w:r w:rsidRPr="00FF32B7">
        <w:rPr>
          <w:rFonts w:eastAsia="Times New Roman" w:cs="Calibri"/>
          <w:szCs w:val="22"/>
          <w:lang w:val="nl-BE" w:eastAsia="fr-FR"/>
        </w:rPr>
        <w:t>De enquête op 1 februari heeft de niet-geoogste oppervlaktes in België vastgesteld op 7% van de beplante gebieden, wat resulteert in een verlies van ongeveer 400.000 ton. De oogst wordt dus geschat op 4,19 miljoen ton voor bewaarvariëteiten, een stijging van 490.000 ton ten opzichte van vorig jaar.</w:t>
      </w:r>
    </w:p>
    <w:p w14:paraId="283785E2" w14:textId="77777777" w:rsidR="00FF32B7" w:rsidRPr="00FF32B7" w:rsidRDefault="00FF32B7" w:rsidP="00FF32B7">
      <w:pPr>
        <w:spacing w:after="0"/>
        <w:contextualSpacing/>
        <w:rPr>
          <w:rFonts w:eastAsia="Times New Roman" w:cs="Calibri"/>
          <w:szCs w:val="22"/>
          <w:lang w:val="nl-BE" w:eastAsia="fr-FR"/>
        </w:rPr>
      </w:pPr>
    </w:p>
    <w:p w14:paraId="7517E9C4" w14:textId="77777777" w:rsidR="00FF32B7" w:rsidRPr="00FF32B7" w:rsidRDefault="00FF32B7" w:rsidP="00FF32B7">
      <w:pPr>
        <w:spacing w:after="0"/>
        <w:contextualSpacing/>
        <w:rPr>
          <w:rFonts w:eastAsia="Times New Roman" w:cs="Calibri"/>
          <w:szCs w:val="22"/>
          <w:lang w:val="nl-BE" w:eastAsia="fr-FR"/>
        </w:rPr>
      </w:pPr>
      <w:r w:rsidRPr="00FF32B7">
        <w:rPr>
          <w:rFonts w:eastAsia="Times New Roman" w:cs="Calibri"/>
          <w:szCs w:val="22"/>
          <w:lang w:val="nl-BE" w:eastAsia="fr-FR"/>
        </w:rPr>
        <w:t>De enquête toont ook Belgische voorraden - alle variëteiten samengenomen - van ongeveer 2,56 miljoen ton, zeer vergelijkbaar met het gemiddelde van de laatste 3 jaar en slechts iets hoger dan vorig jaar (+120.000 ton). Deze voorraden zijn voor 71% contractueel (1,82 miljoen ton) en 29% vrij. In volume vertegenwoordigen de vrije voorraden 740.000 ton, wat meer is dan in recente jaren.</w:t>
      </w:r>
    </w:p>
    <w:p w14:paraId="31700D06" w14:textId="77777777" w:rsidR="00FF32B7" w:rsidRPr="00FF32B7" w:rsidRDefault="00FF32B7" w:rsidP="00FF32B7">
      <w:pPr>
        <w:spacing w:after="0"/>
        <w:contextualSpacing/>
        <w:rPr>
          <w:rFonts w:eastAsia="Times New Roman" w:cs="Calibri"/>
          <w:szCs w:val="22"/>
          <w:lang w:val="nl-BE" w:eastAsia="fr-FR"/>
        </w:rPr>
      </w:pPr>
    </w:p>
    <w:p w14:paraId="32B06CBB" w14:textId="77777777" w:rsidR="00FF32B7" w:rsidRPr="00FF32B7" w:rsidRDefault="00FF32B7" w:rsidP="00FF32B7">
      <w:pPr>
        <w:spacing w:after="0"/>
        <w:contextualSpacing/>
        <w:rPr>
          <w:rFonts w:eastAsia="Times New Roman" w:cs="Calibri"/>
          <w:szCs w:val="22"/>
          <w:lang w:val="nl-BE" w:eastAsia="fr-FR"/>
        </w:rPr>
      </w:pPr>
      <w:r w:rsidRPr="00FF32B7">
        <w:rPr>
          <w:rFonts w:eastAsia="Times New Roman" w:cs="Calibri"/>
          <w:szCs w:val="22"/>
          <w:lang w:val="nl-BE" w:eastAsia="fr-FR"/>
        </w:rPr>
        <w:t>Uitgaande van de vrij overvloedige initiële oogst hebben de markten al 360.000 ton meer vrijgegeven dan vorig jaar op dezelfde datum, wat de groeiende behoeften van de verwerkingsfabrieken bevestigt die de afgelopen jaren een extra capaciteit van ongeveer 1,5 miljoen ton hebben verkregen. De oogst van 2023 lijkt dus, ondanks een gemiddelde opbrengst van ongeveer 47 ton/ha (inclusief niet-geoogst verlies), niet overdreven. Dit had anders kunnen zijn als de nog op het veld staande 400.000 ton niet verloren waren gegaan...</w:t>
      </w:r>
    </w:p>
    <w:p w14:paraId="35481BB3" w14:textId="77777777" w:rsidR="00FF32B7" w:rsidRPr="00FF32B7" w:rsidRDefault="00FF32B7" w:rsidP="00FF32B7">
      <w:pPr>
        <w:spacing w:after="0"/>
        <w:contextualSpacing/>
        <w:rPr>
          <w:rFonts w:eastAsia="Times New Roman" w:cs="Calibri"/>
          <w:szCs w:val="22"/>
          <w:lang w:val="nl-BE" w:eastAsia="fr-FR"/>
        </w:rPr>
      </w:pPr>
    </w:p>
    <w:p w14:paraId="2A5B6CBC" w14:textId="77777777" w:rsidR="00FF32B7" w:rsidRPr="00FF32B7" w:rsidRDefault="00FF32B7" w:rsidP="00FF32B7">
      <w:pPr>
        <w:spacing w:after="0"/>
        <w:contextualSpacing/>
        <w:rPr>
          <w:rFonts w:eastAsia="Times New Roman" w:cs="Calibri"/>
          <w:szCs w:val="22"/>
          <w:lang w:val="nl-BE" w:eastAsia="fr-FR"/>
        </w:rPr>
      </w:pPr>
      <w:proofErr w:type="spellStart"/>
      <w:r w:rsidRPr="00FF32B7">
        <w:rPr>
          <w:rFonts w:eastAsia="Times New Roman" w:cs="Calibri"/>
          <w:szCs w:val="22"/>
          <w:lang w:val="nl-BE" w:eastAsia="fr-FR"/>
        </w:rPr>
        <w:t>Fontane</w:t>
      </w:r>
      <w:proofErr w:type="spellEnd"/>
      <w:r w:rsidRPr="00FF32B7">
        <w:rPr>
          <w:rFonts w:eastAsia="Times New Roman" w:cs="Calibri"/>
          <w:szCs w:val="22"/>
          <w:lang w:val="nl-BE" w:eastAsia="fr-FR"/>
        </w:rPr>
        <w:t xml:space="preserve"> blijft de Belgische productie domineren, omdat het meer dan 70% van de huidige voorraden uitmaakt. Onder de andere belangrijke variëteiten blijven Innovator, </w:t>
      </w:r>
      <w:proofErr w:type="spellStart"/>
      <w:r w:rsidRPr="00FF32B7">
        <w:rPr>
          <w:rFonts w:eastAsia="Times New Roman" w:cs="Calibri"/>
          <w:szCs w:val="22"/>
          <w:lang w:val="nl-BE" w:eastAsia="fr-FR"/>
        </w:rPr>
        <w:t>Challenger</w:t>
      </w:r>
      <w:proofErr w:type="spellEnd"/>
      <w:r w:rsidRPr="00FF32B7">
        <w:rPr>
          <w:rFonts w:eastAsia="Times New Roman" w:cs="Calibri"/>
          <w:szCs w:val="22"/>
          <w:lang w:val="nl-BE" w:eastAsia="fr-FR"/>
        </w:rPr>
        <w:t xml:space="preserve"> en Bintje dichtbij, maar ze vertegenwoordigen samen slechts 10% van de voorraden. Terwijl andere variëteiten (waaronder Markies) lijken uit te breiden. Ze hebben de markten massaal voorzien tussen november en februari.</w:t>
      </w:r>
    </w:p>
    <w:p w14:paraId="10671F73" w14:textId="77777777" w:rsidR="00FF32B7" w:rsidRPr="00FF32B7" w:rsidRDefault="00FF32B7" w:rsidP="00FF32B7">
      <w:pPr>
        <w:spacing w:after="0"/>
        <w:contextualSpacing/>
        <w:rPr>
          <w:rFonts w:eastAsia="Times New Roman" w:cs="Calibri"/>
          <w:szCs w:val="22"/>
          <w:lang w:val="nl-BE" w:eastAsia="fr-FR"/>
        </w:rPr>
      </w:pPr>
    </w:p>
    <w:p w14:paraId="5F2E2643" w14:textId="77777777" w:rsidR="00FF32B7" w:rsidRPr="007271FF" w:rsidRDefault="00FF32B7" w:rsidP="00FF32B7">
      <w:pPr>
        <w:spacing w:after="0"/>
        <w:contextualSpacing/>
        <w:rPr>
          <w:rFonts w:eastAsia="Times New Roman" w:cs="Calibri"/>
          <w:szCs w:val="22"/>
          <w:lang w:val="nl-BE" w:eastAsia="fr-FR"/>
        </w:rPr>
      </w:pPr>
      <w:r w:rsidRPr="00FF32B7">
        <w:rPr>
          <w:rFonts w:eastAsia="Times New Roman" w:cs="Calibri"/>
          <w:szCs w:val="22"/>
          <w:lang w:val="nl-BE" w:eastAsia="fr-FR"/>
        </w:rPr>
        <w:t xml:space="preserve">De fabrieken lijken op een regelmatig en gestaag tempo te draaien, ondanks de toegenomen concurrentie tussen Europese exploitanten. De verkoopprijzen van afgewerkte producten zijn de afgelopen jaren aanzienlijk gestegen, waardoor opnieuw marges kunnen worden behaald ondanks de gestegen verwerkingskosten (energie, lonen, aardappelen...). Belgische exploitanten lijken nog steeds goed te presteren en moeten alert blijven op alle tonnen aardappelen voor het einde van het seizoen... en ook voor het volgende seizoen. De volgende "mogelijkheid" is het planten van de vroege aardappelen van 2024: wanneer, onder welke omstandigheden en op welke schaal? </w:t>
      </w:r>
      <w:r w:rsidRPr="007271FF">
        <w:rPr>
          <w:rFonts w:eastAsia="Times New Roman" w:cs="Calibri"/>
          <w:szCs w:val="22"/>
          <w:lang w:val="nl-BE" w:eastAsia="fr-FR"/>
        </w:rPr>
        <w:t>We komen erachter in maart...</w:t>
      </w:r>
    </w:p>
    <w:p w14:paraId="087ECDFB" w14:textId="77777777" w:rsidR="00FF32B7" w:rsidRPr="007271FF" w:rsidRDefault="00FF32B7" w:rsidP="00FF32B7">
      <w:pPr>
        <w:spacing w:after="0"/>
        <w:contextualSpacing/>
        <w:rPr>
          <w:rFonts w:eastAsia="Times New Roman" w:cs="Calibri"/>
          <w:szCs w:val="22"/>
          <w:lang w:val="nl-BE" w:eastAsia="fr-FR"/>
        </w:rPr>
      </w:pPr>
    </w:p>
    <w:p w14:paraId="03B0D068" w14:textId="77777777" w:rsidR="00FF32B7" w:rsidRPr="007271FF" w:rsidRDefault="00FF32B7" w:rsidP="00FF32B7">
      <w:pPr>
        <w:spacing w:after="0"/>
        <w:contextualSpacing/>
        <w:rPr>
          <w:rFonts w:eastAsia="Times New Roman" w:cs="Calibri"/>
          <w:szCs w:val="22"/>
          <w:lang w:val="nl-BE" w:eastAsia="fr-FR"/>
        </w:rPr>
      </w:pPr>
    </w:p>
    <w:p w14:paraId="3137DE6E" w14:textId="77777777" w:rsidR="00FF32B7" w:rsidRPr="007271FF" w:rsidRDefault="00FF32B7" w:rsidP="00FF32B7">
      <w:pPr>
        <w:spacing w:after="0"/>
        <w:contextualSpacing/>
        <w:rPr>
          <w:rFonts w:eastAsia="Times New Roman" w:cs="Calibri"/>
          <w:szCs w:val="22"/>
          <w:lang w:val="nl-BE" w:eastAsia="fr-FR"/>
        </w:rPr>
      </w:pPr>
    </w:p>
    <w:p w14:paraId="475CE1BA" w14:textId="77777777" w:rsidR="00FF32B7" w:rsidRPr="007271FF" w:rsidRDefault="00FF32B7" w:rsidP="00FF32B7">
      <w:pPr>
        <w:spacing w:after="0"/>
        <w:contextualSpacing/>
        <w:rPr>
          <w:rFonts w:eastAsia="Times New Roman" w:cs="Calibri"/>
          <w:szCs w:val="22"/>
          <w:lang w:val="nl-BE" w:eastAsia="fr-FR"/>
        </w:rPr>
      </w:pPr>
    </w:p>
    <w:p w14:paraId="76149BDC" w14:textId="0FAC3E96" w:rsidR="005D69CF" w:rsidRPr="007271FF" w:rsidRDefault="005D69CF" w:rsidP="00793568">
      <w:pPr>
        <w:spacing w:after="0"/>
        <w:contextualSpacing/>
        <w:rPr>
          <w:rFonts w:eastAsia="Times New Roman" w:cs="Calibri"/>
          <w:szCs w:val="22"/>
          <w:highlight w:val="red"/>
          <w:lang w:val="nl-BE" w:eastAsia="fr-FR"/>
        </w:rPr>
      </w:pPr>
    </w:p>
    <w:p w14:paraId="06FD2F70" w14:textId="77777777" w:rsidR="005C7344" w:rsidRPr="007271FF" w:rsidRDefault="005C7344" w:rsidP="00793568">
      <w:pPr>
        <w:spacing w:after="0"/>
        <w:contextualSpacing/>
        <w:rPr>
          <w:rFonts w:eastAsia="Times New Roman" w:cs="Calibri"/>
          <w:szCs w:val="22"/>
          <w:highlight w:val="red"/>
          <w:lang w:val="nl-BE" w:eastAsia="fr-FR"/>
        </w:rPr>
        <w:sectPr w:rsidR="005C7344" w:rsidRPr="007271FF" w:rsidSect="0033275A">
          <w:headerReference w:type="even" r:id="rId23"/>
          <w:headerReference w:type="default" r:id="rId24"/>
          <w:type w:val="continuous"/>
          <w:pgSz w:w="11906" w:h="16838" w:code="9"/>
          <w:pgMar w:top="851" w:right="851" w:bottom="993" w:left="851" w:header="709" w:footer="283" w:gutter="0"/>
          <w:cols w:num="2" w:sep="1" w:space="709"/>
          <w:titlePg/>
          <w:docGrid w:linePitch="360"/>
        </w:sectPr>
      </w:pPr>
    </w:p>
    <w:p w14:paraId="0690154E" w14:textId="3A119396" w:rsidR="000B4F6C" w:rsidRPr="007271FF" w:rsidRDefault="000B4F6C" w:rsidP="00793568">
      <w:pPr>
        <w:spacing w:after="0"/>
        <w:contextualSpacing/>
        <w:rPr>
          <w:rFonts w:eastAsia="Times New Roman" w:cs="Calibri"/>
          <w:sz w:val="4"/>
          <w:szCs w:val="4"/>
          <w:highlight w:val="red"/>
          <w:lang w:val="nl-BE" w:eastAsia="fr-FR"/>
        </w:rPr>
      </w:pPr>
    </w:p>
    <w:p w14:paraId="4F57A84C" w14:textId="77777777" w:rsidR="005C7344" w:rsidRPr="007271FF" w:rsidRDefault="005C7344" w:rsidP="00793568">
      <w:pPr>
        <w:spacing w:after="0"/>
        <w:contextualSpacing/>
        <w:rPr>
          <w:rFonts w:eastAsia="Times New Roman" w:cs="Calibri"/>
          <w:sz w:val="4"/>
          <w:szCs w:val="4"/>
          <w:highlight w:val="red"/>
          <w:lang w:val="nl-BE" w:eastAsia="fr-FR"/>
        </w:rPr>
      </w:pPr>
    </w:p>
    <w:p w14:paraId="5F3D5CE4" w14:textId="77777777" w:rsidR="002E7F80" w:rsidRPr="007271FF" w:rsidRDefault="002E7F80" w:rsidP="002E7F80">
      <w:pPr>
        <w:rPr>
          <w:rFonts w:cstheme="minorHAnsi"/>
          <w:lang w:val="nl-BE"/>
        </w:rPr>
      </w:pPr>
    </w:p>
    <w:p w14:paraId="5671A7A0" w14:textId="0283CDA1" w:rsidR="000B4F6C" w:rsidRPr="002E7F80" w:rsidRDefault="002E7F80" w:rsidP="004F6847">
      <w:pPr>
        <w:jc w:val="center"/>
        <w:rPr>
          <w:rFonts w:cstheme="minorHAnsi"/>
          <w:highlight w:val="red"/>
          <w:lang w:val="nl-BE"/>
        </w:rPr>
      </w:pPr>
      <w:r w:rsidRPr="002E7F80">
        <w:rPr>
          <w:rFonts w:cstheme="minorHAnsi"/>
          <w:i/>
          <w:iCs/>
          <w:u w:val="single"/>
          <w:lang w:val="nl-BE"/>
        </w:rPr>
        <w:t>Grafiek 8</w:t>
      </w:r>
      <w:r w:rsidRPr="002E7F80">
        <w:rPr>
          <w:rFonts w:cstheme="minorHAnsi"/>
          <w:i/>
          <w:iCs/>
          <w:lang w:val="nl-BE"/>
        </w:rPr>
        <w:t>: Verdeling per seizoen van vrije voorraad versus gecontracteerde voorraad in België</w:t>
      </w:r>
      <w:r w:rsidR="00387B00" w:rsidRPr="00387B00">
        <w:rPr>
          <w:noProof/>
        </w:rPr>
        <w:drawing>
          <wp:inline distT="0" distB="0" distL="0" distR="0" wp14:anchorId="290C93ED" wp14:editId="49AB8716">
            <wp:extent cx="6025082" cy="3552511"/>
            <wp:effectExtent l="0" t="0" r="0" b="0"/>
            <wp:docPr id="12574497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0920" cy="3555953"/>
                    </a:xfrm>
                    <a:prstGeom prst="rect">
                      <a:avLst/>
                    </a:prstGeom>
                    <a:noFill/>
                    <a:ln>
                      <a:noFill/>
                    </a:ln>
                  </pic:spPr>
                </pic:pic>
              </a:graphicData>
            </a:graphic>
          </wp:inline>
        </w:drawing>
      </w:r>
    </w:p>
    <w:p w14:paraId="0D980DE3" w14:textId="6A3A680B" w:rsidR="005A5170" w:rsidRPr="002E7F80" w:rsidRDefault="005A5170" w:rsidP="005A5170">
      <w:pPr>
        <w:spacing w:after="0"/>
        <w:contextualSpacing/>
        <w:rPr>
          <w:rFonts w:eastAsia="Times New Roman" w:cs="Calibri"/>
          <w:sz w:val="24"/>
          <w:szCs w:val="24"/>
          <w:lang w:val="nl-BE" w:eastAsia="fr-FR"/>
        </w:rPr>
      </w:pPr>
    </w:p>
    <w:sectPr w:rsidR="005A5170" w:rsidRPr="002E7F80" w:rsidSect="0033275A">
      <w:type w:val="continuous"/>
      <w:pgSz w:w="11906" w:h="16838" w:code="9"/>
      <w:pgMar w:top="851" w:right="851" w:bottom="993" w:left="85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E067" w14:textId="77777777" w:rsidR="0033275A" w:rsidRDefault="0033275A">
      <w:r>
        <w:separator/>
      </w:r>
    </w:p>
  </w:endnote>
  <w:endnote w:type="continuationSeparator" w:id="0">
    <w:p w14:paraId="797B8B96" w14:textId="77777777" w:rsidR="0033275A" w:rsidRDefault="0033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044C" w14:textId="0B7482CD" w:rsidR="00C95EDE" w:rsidRPr="00C95EDE" w:rsidRDefault="00C95EDE" w:rsidP="00C95EDE">
    <w:pPr>
      <w:pStyle w:val="Voettekst"/>
      <w:jc w:val="center"/>
      <w:rPr>
        <w:rFonts w:ascii="Bradley Hand ITC" w:hAnsi="Bradley Hand ITC"/>
        <w:b/>
        <w:color w:val="1A6A2F"/>
        <w:sz w:val="24"/>
        <w:szCs w:val="24"/>
      </w:rPr>
    </w:pPr>
    <w:r w:rsidRPr="00C95EDE">
      <w:rPr>
        <w:noProof/>
        <w:sz w:val="24"/>
        <w:szCs w:val="24"/>
      </w:rPr>
      <w:drawing>
        <wp:anchor distT="0" distB="0" distL="114300" distR="114300" simplePos="0" relativeHeight="251685376" behindDoc="0" locked="0" layoutInCell="1" allowOverlap="1" wp14:anchorId="5816CF1E" wp14:editId="17C13F12">
          <wp:simplePos x="0" y="0"/>
          <wp:positionH relativeFrom="column">
            <wp:posOffset>457835</wp:posOffset>
          </wp:positionH>
          <wp:positionV relativeFrom="paragraph">
            <wp:posOffset>-86995</wp:posOffset>
          </wp:positionV>
          <wp:extent cx="641278" cy="327660"/>
          <wp:effectExtent l="0" t="0" r="6985" b="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Evolution des stocks belges de pommes de terre : Avril 2021</w:t>
    </w:r>
  </w:p>
  <w:p w14:paraId="69447E16" w14:textId="77777777" w:rsidR="00212F6D" w:rsidRDefault="00212F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7D7" w14:textId="77777777" w:rsidR="0019207F" w:rsidRPr="0037015D" w:rsidRDefault="0019207F" w:rsidP="0019207F">
    <w:pPr>
      <w:pStyle w:val="Voettekst"/>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1D3EE4DC" w14:textId="4956444F" w:rsidR="0019207F" w:rsidRPr="002B37E2" w:rsidRDefault="0019207F" w:rsidP="002B37E2">
    <w:pPr>
      <w:pStyle w:val="Voettekst"/>
      <w:jc w:val="center"/>
      <w:rPr>
        <w:rFonts w:ascii="Berlin Sans FB" w:hAnsi="Berlin Sans FB" w:cs="Arial"/>
        <w:color w:val="FFFFFF"/>
        <w:sz w:val="24"/>
        <w:szCs w:val="24"/>
        <w:highlight w:val="darkGreen"/>
      </w:rPr>
    </w:pPr>
    <w:r w:rsidRPr="0037015D">
      <w:rPr>
        <w:rFonts w:ascii="Berlin Sans FB" w:hAnsi="Berlin Sans FB" w:cs="Arial"/>
        <w:color w:val="FFFFFF"/>
        <w:sz w:val="24"/>
        <w:szCs w:val="24"/>
        <w:highlight w:val="darkGreen"/>
      </w:rPr>
      <w:t>Tél. : +32 (0)81 61.06.56 • info@fiwap.be • www.fiwap.be</w:t>
    </w:r>
  </w:p>
  <w:p w14:paraId="5C715DD6" w14:textId="77777777" w:rsidR="0019207F" w:rsidRDefault="001920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43B7" w14:textId="77777777" w:rsidR="00793568" w:rsidRDefault="00793568" w:rsidP="002F692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3588100" w14:textId="77777777" w:rsidR="00793568" w:rsidRDefault="00793568" w:rsidP="006E149D">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7C35" w14:textId="314449C7" w:rsidR="000C34EA" w:rsidRPr="00C95EDE" w:rsidRDefault="000C34EA" w:rsidP="000C34EA">
    <w:pPr>
      <w:pStyle w:val="Voettekst"/>
      <w:jc w:val="center"/>
      <w:rPr>
        <w:rFonts w:ascii="Bradley Hand ITC" w:hAnsi="Bradley Hand ITC"/>
        <w:b/>
        <w:color w:val="1A6A2F"/>
        <w:sz w:val="24"/>
        <w:szCs w:val="24"/>
      </w:rPr>
    </w:pPr>
    <w:r w:rsidRPr="00C95EDE">
      <w:rPr>
        <w:noProof/>
        <w:sz w:val="24"/>
        <w:szCs w:val="24"/>
      </w:rPr>
      <w:drawing>
        <wp:anchor distT="0" distB="0" distL="114300" distR="114300" simplePos="0" relativeHeight="251687424" behindDoc="0" locked="0" layoutInCell="1" allowOverlap="1" wp14:anchorId="69C4E494" wp14:editId="4181EE1D">
          <wp:simplePos x="0" y="0"/>
          <wp:positionH relativeFrom="column">
            <wp:posOffset>457835</wp:posOffset>
          </wp:positionH>
          <wp:positionV relativeFrom="paragraph">
            <wp:posOffset>-86995</wp:posOffset>
          </wp:positionV>
          <wp:extent cx="641278" cy="327660"/>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 xml:space="preserve">Evolution des stocks belges de pommes de terre : </w:t>
    </w:r>
    <w:r>
      <w:rPr>
        <w:rFonts w:ascii="Bradley Hand ITC" w:hAnsi="Bradley Hand ITC"/>
        <w:b/>
        <w:color w:val="1A6A2F"/>
        <w:sz w:val="24"/>
        <w:szCs w:val="24"/>
      </w:rPr>
      <w:t>Février 202</w:t>
    </w:r>
    <w:r w:rsidR="000227BE">
      <w:rPr>
        <w:rFonts w:ascii="Bradley Hand ITC" w:hAnsi="Bradley Hand ITC"/>
        <w:b/>
        <w:color w:val="1A6A2F"/>
        <w:sz w:val="24"/>
        <w:szCs w:val="2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E4F25" w14:textId="77777777" w:rsidR="0033275A" w:rsidRDefault="0033275A">
      <w:r>
        <w:separator/>
      </w:r>
    </w:p>
  </w:footnote>
  <w:footnote w:type="continuationSeparator" w:id="0">
    <w:p w14:paraId="21E031E5" w14:textId="77777777" w:rsidR="0033275A" w:rsidRDefault="0033275A">
      <w:r>
        <w:continuationSeparator/>
      </w:r>
    </w:p>
  </w:footnote>
  <w:footnote w:id="1">
    <w:p w14:paraId="03FF93B7" w14:textId="3659F551" w:rsidR="00A40AA4" w:rsidRPr="00A40AA4" w:rsidRDefault="00A40AA4" w:rsidP="00A40AA4">
      <w:pPr>
        <w:pStyle w:val="Voetnoottekst"/>
        <w:rPr>
          <w:sz w:val="18"/>
          <w:szCs w:val="18"/>
        </w:rPr>
      </w:pPr>
      <w:r w:rsidRPr="00A40AA4">
        <w:rPr>
          <w:rStyle w:val="Voetnootmarkering"/>
          <w:sz w:val="18"/>
          <w:szCs w:val="18"/>
        </w:rPr>
        <w:footnoteRef/>
      </w:r>
      <w:r w:rsidRPr="00A40AA4">
        <w:rPr>
          <w:sz w:val="18"/>
          <w:szCs w:val="18"/>
        </w:rPr>
        <w:t xml:space="preserve"> Cofinancé par le Service Public de Wallonie – DGARNE – Direction du Développement et de la Vulgarisation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DA9C" w14:textId="77777777" w:rsidR="00E80AEE" w:rsidRDefault="00E80AEE">
    <w:pPr>
      <w:pStyle w:val="Koptekst"/>
      <w:ind w:right="360"/>
    </w:pPr>
    <w:r>
      <w:rPr>
        <w:noProof/>
      </w:rPr>
      <mc:AlternateContent>
        <mc:Choice Requires="wps">
          <w:drawing>
            <wp:anchor distT="0" distB="0" distL="114300" distR="114300" simplePos="0" relativeHeight="251678208" behindDoc="0" locked="0" layoutInCell="0" allowOverlap="1" wp14:anchorId="23A4D021" wp14:editId="04D13A90">
              <wp:simplePos x="0" y="0"/>
              <wp:positionH relativeFrom="page">
                <wp:posOffset>0</wp:posOffset>
              </wp:positionH>
              <wp:positionV relativeFrom="topMargin">
                <wp:posOffset>247650</wp:posOffset>
              </wp:positionV>
              <wp:extent cx="914400" cy="222250"/>
              <wp:effectExtent l="0" t="0" r="3810" b="63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solidFill>
                        <a:schemeClr val="accent1"/>
                      </a:solidFill>
                      <a:ln>
                        <a:noFill/>
                      </a:ln>
                    </wps:spPr>
                    <wps:txbx>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3A4D021" id="_x0000_t202" coordsize="21600,21600" o:spt="202" path="m,l,21600r21600,l21600,xe">
              <v:stroke joinstyle="miter"/>
              <v:path gradientshapeok="t" o:connecttype="rect"/>
            </v:shapetype>
            <v:shape id="Zone de texte 8" o:spid="_x0000_s1026" type="#_x0000_t202" style="position:absolute;left:0;text-align:left;margin-left:0;margin-top:19.5pt;width:1in;height:17.5pt;z-index:2516782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" o:allowincell="f" fillcolor="#549e39 [3204]" stroked="f">
              <v:textbox inset=",0,,0">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BEC8" w14:textId="77777777" w:rsidR="00E80AEE" w:rsidRDefault="00E80AEE">
    <w:pPr>
      <w:pStyle w:val="Koptekst"/>
      <w:ind w:right="360"/>
    </w:pPr>
    <w:r>
      <w:rPr>
        <w:noProof/>
      </w:rPr>
      <mc:AlternateContent>
        <mc:Choice Requires="wps">
          <w:drawing>
            <wp:anchor distT="0" distB="0" distL="114300" distR="114300" simplePos="0" relativeHeight="251681280" behindDoc="0" locked="0" layoutInCell="0" allowOverlap="1" wp14:anchorId="69C05F1B" wp14:editId="140D82E0">
              <wp:simplePos x="0" y="0"/>
              <wp:positionH relativeFrom="page">
                <wp:posOffset>6750050</wp:posOffset>
              </wp:positionH>
              <wp:positionV relativeFrom="topMargin">
                <wp:posOffset>247650</wp:posOffset>
              </wp:positionV>
              <wp:extent cx="911860" cy="203200"/>
              <wp:effectExtent l="0" t="0" r="0" b="63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9C05F1B" id="_x0000_t202" coordsize="21600,21600" o:spt="202" path="m,l,21600r21600,l21600,xe">
              <v:stroke joinstyle="miter"/>
              <v:path gradientshapeok="t" o:connecttype="rect"/>
            </v:shapetype>
            <v:shape id="Zone de texte 17" o:spid="_x0000_s1027" type="#_x0000_t202" style="position:absolute;left:0;text-align:left;margin-left:531.5pt;margin-top:19.5pt;width:71.8pt;height:16pt;z-index:251681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bo8g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" o:allowincell="f" fillcolor="#549e39 [3204]" stroked="f">
              <v:textbox inset=",0,,0">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8ABE" w14:textId="268EDFC1" w:rsidR="00FE50F4" w:rsidRDefault="00FE50F4">
    <w:pPr>
      <w:pStyle w:val="Koptekst"/>
    </w:pPr>
    <w:r>
      <w:rPr>
        <w:noProof/>
      </w:rPr>
      <mc:AlternateContent>
        <mc:Choice Requires="wps">
          <w:drawing>
            <wp:anchor distT="0" distB="0" distL="114300" distR="114300" simplePos="0" relativeHeight="251683328" behindDoc="0" locked="0" layoutInCell="0" allowOverlap="1" wp14:anchorId="522ABB04" wp14:editId="613B6B13">
              <wp:simplePos x="0" y="0"/>
              <wp:positionH relativeFrom="page">
                <wp:posOffset>6629400</wp:posOffset>
              </wp:positionH>
              <wp:positionV relativeFrom="topMargin">
                <wp:posOffset>441960</wp:posOffset>
              </wp:positionV>
              <wp:extent cx="911860" cy="203200"/>
              <wp:effectExtent l="0" t="0" r="0"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22ABB04" id="_x0000_t202" coordsize="21600,21600" o:spt="202" path="m,l,21600r21600,l21600,xe">
              <v:stroke joinstyle="miter"/>
              <v:path gradientshapeok="t" o:connecttype="rect"/>
            </v:shapetype>
            <v:shape id="Zone de texte 6" o:spid="_x0000_s1028" type="#_x0000_t202" style="position:absolute;left:0;text-align:left;margin-left:522pt;margin-top:34.8pt;width:71.8pt;height:16pt;z-index:2516833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WL9A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" o:allowincell="f" fillcolor="#549e39 [3204]" stroked="f">
              <v:textbox inset=",0,,0">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C0EDE">
      <w:rPr>
        <w:rStyle w:val="Paginanummer"/>
        <w:noProof/>
      </w:rPr>
      <w:t>2</w:t>
    </w:r>
    <w:r>
      <w:rPr>
        <w:rStyle w:val="Paginanummer"/>
      </w:rPr>
      <w:fldChar w:fldCharType="end"/>
    </w:r>
  </w:p>
  <w:p w14:paraId="7B8A4382" w14:textId="77777777" w:rsidR="00E80AEE" w:rsidRDefault="00E80AEE">
    <w:pPr>
      <w:pStyle w:val="Koptekst"/>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EDCA" w14:textId="77777777" w:rsidR="00E80AEE" w:rsidRDefault="00E80AE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C0EDE">
      <w:rPr>
        <w:rStyle w:val="Paginanummer"/>
        <w:noProof/>
      </w:rPr>
      <w:t>3</w:t>
    </w:r>
    <w:r>
      <w:rPr>
        <w:rStyle w:val="Paginanummer"/>
      </w:rPr>
      <w:fldChar w:fldCharType="end"/>
    </w:r>
  </w:p>
  <w:p w14:paraId="4847572B" w14:textId="77777777" w:rsidR="00E80AEE" w:rsidRDefault="00E80AEE">
    <w:pPr>
      <w:pStyle w:val="Koptekst"/>
      <w:ind w:right="360"/>
    </w:pPr>
  </w:p>
  <w:p w14:paraId="73E7DEF7" w14:textId="77777777"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252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B42EEC"/>
    <w:multiLevelType w:val="hybridMultilevel"/>
    <w:tmpl w:val="0A4C47DC"/>
    <w:lvl w:ilvl="0" w:tplc="0F96736A">
      <w:numFmt w:val="bullet"/>
      <w:lvlText w:val="-"/>
      <w:lvlJc w:val="left"/>
      <w:pPr>
        <w:ind w:left="1080" w:hanging="360"/>
      </w:pPr>
      <w:rPr>
        <w:rFonts w:ascii="Century Gothic" w:eastAsia="Times New Roman" w:hAnsi="Century Gothic"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8"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BE432D0"/>
    <w:multiLevelType w:val="hybridMultilevel"/>
    <w:tmpl w:val="1A8CD53A"/>
    <w:lvl w:ilvl="0" w:tplc="6A6C51EC">
      <w:start w:val="2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72B3BAE"/>
    <w:multiLevelType w:val="hybridMultilevel"/>
    <w:tmpl w:val="66789FF8"/>
    <w:lvl w:ilvl="0" w:tplc="017C4584">
      <w:numFmt w:val="bullet"/>
      <w:lvlText w:val="-"/>
      <w:lvlJc w:val="left"/>
      <w:pPr>
        <w:ind w:left="720" w:hanging="360"/>
      </w:pPr>
      <w:rPr>
        <w:rFonts w:ascii="Century Gothic" w:eastAsia="Times New Roman" w:hAnsi="Century Gothic"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7"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1697653706">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104499135">
    <w:abstractNumId w:val="39"/>
  </w:num>
  <w:num w:numId="3" w16cid:durableId="1598757141">
    <w:abstractNumId w:val="4"/>
  </w:num>
  <w:num w:numId="4" w16cid:durableId="827595393">
    <w:abstractNumId w:val="17"/>
  </w:num>
  <w:num w:numId="5" w16cid:durableId="315765811">
    <w:abstractNumId w:val="15"/>
  </w:num>
  <w:num w:numId="6" w16cid:durableId="2108184832">
    <w:abstractNumId w:val="21"/>
  </w:num>
  <w:num w:numId="7" w16cid:durableId="31615826">
    <w:abstractNumId w:val="23"/>
  </w:num>
  <w:num w:numId="8" w16cid:durableId="1474181053">
    <w:abstractNumId w:val="8"/>
  </w:num>
  <w:num w:numId="9" w16cid:durableId="924192768">
    <w:abstractNumId w:val="26"/>
  </w:num>
  <w:num w:numId="10" w16cid:durableId="945959919">
    <w:abstractNumId w:val="40"/>
  </w:num>
  <w:num w:numId="11" w16cid:durableId="709956149">
    <w:abstractNumId w:val="42"/>
  </w:num>
  <w:num w:numId="12" w16cid:durableId="399987842">
    <w:abstractNumId w:val="19"/>
  </w:num>
  <w:num w:numId="13" w16cid:durableId="607278840">
    <w:abstractNumId w:val="43"/>
  </w:num>
  <w:num w:numId="14" w16cid:durableId="391468662">
    <w:abstractNumId w:val="12"/>
  </w:num>
  <w:num w:numId="15" w16cid:durableId="1779333152">
    <w:abstractNumId w:val="25"/>
  </w:num>
  <w:num w:numId="16" w16cid:durableId="369917132">
    <w:abstractNumId w:val="10"/>
  </w:num>
  <w:num w:numId="17" w16cid:durableId="485711799">
    <w:abstractNumId w:val="18"/>
  </w:num>
  <w:num w:numId="18" w16cid:durableId="441802854">
    <w:abstractNumId w:val="36"/>
  </w:num>
  <w:num w:numId="19" w16cid:durableId="330333312">
    <w:abstractNumId w:val="3"/>
  </w:num>
  <w:num w:numId="20" w16cid:durableId="1124229631">
    <w:abstractNumId w:val="28"/>
  </w:num>
  <w:num w:numId="21" w16cid:durableId="1408380199">
    <w:abstractNumId w:val="13"/>
  </w:num>
  <w:num w:numId="22" w16cid:durableId="1167130871">
    <w:abstractNumId w:val="38"/>
  </w:num>
  <w:num w:numId="23" w16cid:durableId="797991073">
    <w:abstractNumId w:val="22"/>
  </w:num>
  <w:num w:numId="24" w16cid:durableId="1074743625">
    <w:abstractNumId w:val="9"/>
  </w:num>
  <w:num w:numId="25" w16cid:durableId="724763900">
    <w:abstractNumId w:val="30"/>
  </w:num>
  <w:num w:numId="26" w16cid:durableId="611208449">
    <w:abstractNumId w:val="34"/>
  </w:num>
  <w:num w:numId="27" w16cid:durableId="1774863777">
    <w:abstractNumId w:val="16"/>
  </w:num>
  <w:num w:numId="28" w16cid:durableId="153395236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775739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2751674">
    <w:abstractNumId w:val="35"/>
  </w:num>
  <w:num w:numId="31" w16cid:durableId="451632555">
    <w:abstractNumId w:val="2"/>
  </w:num>
  <w:num w:numId="32" w16cid:durableId="1475952902">
    <w:abstractNumId w:val="7"/>
  </w:num>
  <w:num w:numId="33" w16cid:durableId="1953513819">
    <w:abstractNumId w:val="41"/>
  </w:num>
  <w:num w:numId="34" w16cid:durableId="851993386">
    <w:abstractNumId w:val="24"/>
  </w:num>
  <w:num w:numId="35" w16cid:durableId="1438259875">
    <w:abstractNumId w:val="14"/>
  </w:num>
  <w:num w:numId="36" w16cid:durableId="52431212">
    <w:abstractNumId w:val="37"/>
  </w:num>
  <w:num w:numId="37" w16cid:durableId="1121458674">
    <w:abstractNumId w:val="11"/>
  </w:num>
  <w:num w:numId="38" w16cid:durableId="979579723">
    <w:abstractNumId w:val="32"/>
  </w:num>
  <w:num w:numId="39" w16cid:durableId="1525362429">
    <w:abstractNumId w:val="20"/>
  </w:num>
  <w:num w:numId="40" w16cid:durableId="974725142">
    <w:abstractNumId w:val="27"/>
  </w:num>
  <w:num w:numId="41" w16cid:durableId="993486554">
    <w:abstractNumId w:val="33"/>
  </w:num>
  <w:num w:numId="42" w16cid:durableId="11556826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4097">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ED0"/>
    <w:rsid w:val="00001FED"/>
    <w:rsid w:val="000027E3"/>
    <w:rsid w:val="0000369B"/>
    <w:rsid w:val="00003758"/>
    <w:rsid w:val="000041A3"/>
    <w:rsid w:val="000043B2"/>
    <w:rsid w:val="00005370"/>
    <w:rsid w:val="00005AC6"/>
    <w:rsid w:val="00005DCE"/>
    <w:rsid w:val="0000691E"/>
    <w:rsid w:val="00006A6A"/>
    <w:rsid w:val="00006C7E"/>
    <w:rsid w:val="00010CFC"/>
    <w:rsid w:val="00011A6A"/>
    <w:rsid w:val="00011DA6"/>
    <w:rsid w:val="00012942"/>
    <w:rsid w:val="00012C06"/>
    <w:rsid w:val="00013516"/>
    <w:rsid w:val="000142A5"/>
    <w:rsid w:val="0001548A"/>
    <w:rsid w:val="00015CA1"/>
    <w:rsid w:val="00015F16"/>
    <w:rsid w:val="00017689"/>
    <w:rsid w:val="000204DC"/>
    <w:rsid w:val="00020511"/>
    <w:rsid w:val="0002152B"/>
    <w:rsid w:val="000215B4"/>
    <w:rsid w:val="00021914"/>
    <w:rsid w:val="0002234B"/>
    <w:rsid w:val="000227BE"/>
    <w:rsid w:val="00023361"/>
    <w:rsid w:val="000238A1"/>
    <w:rsid w:val="00023B93"/>
    <w:rsid w:val="00023FA3"/>
    <w:rsid w:val="00025A47"/>
    <w:rsid w:val="0002652A"/>
    <w:rsid w:val="00026E3F"/>
    <w:rsid w:val="0002763F"/>
    <w:rsid w:val="00027B24"/>
    <w:rsid w:val="00030ED2"/>
    <w:rsid w:val="000321BF"/>
    <w:rsid w:val="00032240"/>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343"/>
    <w:rsid w:val="0007364B"/>
    <w:rsid w:val="00073FB1"/>
    <w:rsid w:val="00074056"/>
    <w:rsid w:val="000746F4"/>
    <w:rsid w:val="000752B6"/>
    <w:rsid w:val="0007568B"/>
    <w:rsid w:val="0007571B"/>
    <w:rsid w:val="00075892"/>
    <w:rsid w:val="00076216"/>
    <w:rsid w:val="00077F08"/>
    <w:rsid w:val="000805D5"/>
    <w:rsid w:val="00080E3A"/>
    <w:rsid w:val="00081A87"/>
    <w:rsid w:val="00081B44"/>
    <w:rsid w:val="00081E5C"/>
    <w:rsid w:val="00082156"/>
    <w:rsid w:val="00082416"/>
    <w:rsid w:val="0008359A"/>
    <w:rsid w:val="00083A7D"/>
    <w:rsid w:val="00083C6B"/>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B45"/>
    <w:rsid w:val="00095C8C"/>
    <w:rsid w:val="00095D5A"/>
    <w:rsid w:val="000961FE"/>
    <w:rsid w:val="000961FF"/>
    <w:rsid w:val="000968A6"/>
    <w:rsid w:val="00096F79"/>
    <w:rsid w:val="000971F6"/>
    <w:rsid w:val="00097B44"/>
    <w:rsid w:val="000A061B"/>
    <w:rsid w:val="000A1EC0"/>
    <w:rsid w:val="000A2BFC"/>
    <w:rsid w:val="000A2D44"/>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4F6C"/>
    <w:rsid w:val="000B54F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34EA"/>
    <w:rsid w:val="000C41B6"/>
    <w:rsid w:val="000C5088"/>
    <w:rsid w:val="000C6B8F"/>
    <w:rsid w:val="000C71BF"/>
    <w:rsid w:val="000C7593"/>
    <w:rsid w:val="000D12E0"/>
    <w:rsid w:val="000D19F9"/>
    <w:rsid w:val="000D1FC6"/>
    <w:rsid w:val="000D20FE"/>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D79A8"/>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DC"/>
    <w:rsid w:val="001077AC"/>
    <w:rsid w:val="00107A75"/>
    <w:rsid w:val="00107F9A"/>
    <w:rsid w:val="00110D19"/>
    <w:rsid w:val="00111CF5"/>
    <w:rsid w:val="00114732"/>
    <w:rsid w:val="00115316"/>
    <w:rsid w:val="00115351"/>
    <w:rsid w:val="00116639"/>
    <w:rsid w:val="001168D3"/>
    <w:rsid w:val="001171A1"/>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569A"/>
    <w:rsid w:val="00136FE6"/>
    <w:rsid w:val="001373DE"/>
    <w:rsid w:val="001376CE"/>
    <w:rsid w:val="0014078B"/>
    <w:rsid w:val="00140EB2"/>
    <w:rsid w:val="00141C44"/>
    <w:rsid w:val="001429A1"/>
    <w:rsid w:val="00144C56"/>
    <w:rsid w:val="001454BB"/>
    <w:rsid w:val="00145B6C"/>
    <w:rsid w:val="001463DE"/>
    <w:rsid w:val="00146551"/>
    <w:rsid w:val="001478DB"/>
    <w:rsid w:val="00147AA1"/>
    <w:rsid w:val="00150297"/>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430"/>
    <w:rsid w:val="00160B23"/>
    <w:rsid w:val="00160EB3"/>
    <w:rsid w:val="00160F2D"/>
    <w:rsid w:val="00161238"/>
    <w:rsid w:val="0016127D"/>
    <w:rsid w:val="0016158C"/>
    <w:rsid w:val="0016378A"/>
    <w:rsid w:val="00163872"/>
    <w:rsid w:val="00164325"/>
    <w:rsid w:val="00164C94"/>
    <w:rsid w:val="00164FA3"/>
    <w:rsid w:val="00165D1B"/>
    <w:rsid w:val="0016620A"/>
    <w:rsid w:val="001669D1"/>
    <w:rsid w:val="00167DCD"/>
    <w:rsid w:val="0017061A"/>
    <w:rsid w:val="0017061F"/>
    <w:rsid w:val="00170C7B"/>
    <w:rsid w:val="001710DE"/>
    <w:rsid w:val="00171270"/>
    <w:rsid w:val="0017277C"/>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A2F"/>
    <w:rsid w:val="00196EAE"/>
    <w:rsid w:val="0019747A"/>
    <w:rsid w:val="00197941"/>
    <w:rsid w:val="00197E4E"/>
    <w:rsid w:val="001A081C"/>
    <w:rsid w:val="001A09E4"/>
    <w:rsid w:val="001A0D79"/>
    <w:rsid w:val="001A121A"/>
    <w:rsid w:val="001A2883"/>
    <w:rsid w:val="001A319F"/>
    <w:rsid w:val="001A3C63"/>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677"/>
    <w:rsid w:val="001B180C"/>
    <w:rsid w:val="001B18A9"/>
    <w:rsid w:val="001B1E6B"/>
    <w:rsid w:val="001B2497"/>
    <w:rsid w:val="001B2943"/>
    <w:rsid w:val="001B2B69"/>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CDF"/>
    <w:rsid w:val="001C79BB"/>
    <w:rsid w:val="001C7DAF"/>
    <w:rsid w:val="001D1478"/>
    <w:rsid w:val="001D1CC5"/>
    <w:rsid w:val="001D1EFC"/>
    <w:rsid w:val="001D2626"/>
    <w:rsid w:val="001D362C"/>
    <w:rsid w:val="001D3BC8"/>
    <w:rsid w:val="001D3DBA"/>
    <w:rsid w:val="001D476F"/>
    <w:rsid w:val="001D51D8"/>
    <w:rsid w:val="001D656D"/>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636"/>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069F"/>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CF7"/>
    <w:rsid w:val="00256FEA"/>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FE8"/>
    <w:rsid w:val="00270091"/>
    <w:rsid w:val="002719D4"/>
    <w:rsid w:val="00272959"/>
    <w:rsid w:val="00272AE3"/>
    <w:rsid w:val="0027311C"/>
    <w:rsid w:val="0027397D"/>
    <w:rsid w:val="00274455"/>
    <w:rsid w:val="002745A1"/>
    <w:rsid w:val="002757F1"/>
    <w:rsid w:val="00275CA3"/>
    <w:rsid w:val="002762A1"/>
    <w:rsid w:val="00276ED8"/>
    <w:rsid w:val="002770A0"/>
    <w:rsid w:val="00277607"/>
    <w:rsid w:val="00277C78"/>
    <w:rsid w:val="0028001B"/>
    <w:rsid w:val="0028046C"/>
    <w:rsid w:val="00280642"/>
    <w:rsid w:val="002807FA"/>
    <w:rsid w:val="00280F90"/>
    <w:rsid w:val="00281C0A"/>
    <w:rsid w:val="002828FD"/>
    <w:rsid w:val="00282AFB"/>
    <w:rsid w:val="00283884"/>
    <w:rsid w:val="00283C29"/>
    <w:rsid w:val="0028404C"/>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4ABF"/>
    <w:rsid w:val="00294E56"/>
    <w:rsid w:val="0029589A"/>
    <w:rsid w:val="00296D44"/>
    <w:rsid w:val="00296E13"/>
    <w:rsid w:val="002979E4"/>
    <w:rsid w:val="00297F49"/>
    <w:rsid w:val="002A11AF"/>
    <w:rsid w:val="002A1676"/>
    <w:rsid w:val="002A2033"/>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733"/>
    <w:rsid w:val="002A6C7E"/>
    <w:rsid w:val="002A6D0A"/>
    <w:rsid w:val="002A6EB9"/>
    <w:rsid w:val="002A721D"/>
    <w:rsid w:val="002B144D"/>
    <w:rsid w:val="002B182F"/>
    <w:rsid w:val="002B184B"/>
    <w:rsid w:val="002B1BDF"/>
    <w:rsid w:val="002B37E2"/>
    <w:rsid w:val="002B3B2B"/>
    <w:rsid w:val="002B4E85"/>
    <w:rsid w:val="002B5DF0"/>
    <w:rsid w:val="002B7370"/>
    <w:rsid w:val="002B797C"/>
    <w:rsid w:val="002C0318"/>
    <w:rsid w:val="002C0A2A"/>
    <w:rsid w:val="002C0CD2"/>
    <w:rsid w:val="002C0DB4"/>
    <w:rsid w:val="002C1117"/>
    <w:rsid w:val="002C20BD"/>
    <w:rsid w:val="002C248C"/>
    <w:rsid w:val="002C3184"/>
    <w:rsid w:val="002C357C"/>
    <w:rsid w:val="002C382C"/>
    <w:rsid w:val="002C3C17"/>
    <w:rsid w:val="002C4041"/>
    <w:rsid w:val="002C4616"/>
    <w:rsid w:val="002C51EE"/>
    <w:rsid w:val="002C5605"/>
    <w:rsid w:val="002C581B"/>
    <w:rsid w:val="002C7519"/>
    <w:rsid w:val="002C7961"/>
    <w:rsid w:val="002C7D22"/>
    <w:rsid w:val="002D0E3E"/>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BF9"/>
    <w:rsid w:val="002D72F0"/>
    <w:rsid w:val="002D76D6"/>
    <w:rsid w:val="002D7A1F"/>
    <w:rsid w:val="002D7AD3"/>
    <w:rsid w:val="002E0053"/>
    <w:rsid w:val="002E02DA"/>
    <w:rsid w:val="002E098F"/>
    <w:rsid w:val="002E1D2E"/>
    <w:rsid w:val="002E1DB9"/>
    <w:rsid w:val="002E2458"/>
    <w:rsid w:val="002E2BCE"/>
    <w:rsid w:val="002E41F7"/>
    <w:rsid w:val="002E483C"/>
    <w:rsid w:val="002E56A3"/>
    <w:rsid w:val="002E5A6F"/>
    <w:rsid w:val="002E5E65"/>
    <w:rsid w:val="002E605C"/>
    <w:rsid w:val="002E6B68"/>
    <w:rsid w:val="002E79E8"/>
    <w:rsid w:val="002E7B2D"/>
    <w:rsid w:val="002E7C53"/>
    <w:rsid w:val="002E7F80"/>
    <w:rsid w:val="002F000F"/>
    <w:rsid w:val="002F09BD"/>
    <w:rsid w:val="002F21AB"/>
    <w:rsid w:val="002F224E"/>
    <w:rsid w:val="002F22FA"/>
    <w:rsid w:val="002F5029"/>
    <w:rsid w:val="002F5066"/>
    <w:rsid w:val="002F56AF"/>
    <w:rsid w:val="002F57A2"/>
    <w:rsid w:val="002F632E"/>
    <w:rsid w:val="002F640A"/>
    <w:rsid w:val="002F67BE"/>
    <w:rsid w:val="003009ED"/>
    <w:rsid w:val="003011EF"/>
    <w:rsid w:val="003013F6"/>
    <w:rsid w:val="0030175E"/>
    <w:rsid w:val="00301790"/>
    <w:rsid w:val="00301A0C"/>
    <w:rsid w:val="00301A30"/>
    <w:rsid w:val="0030214F"/>
    <w:rsid w:val="00302750"/>
    <w:rsid w:val="00304F0C"/>
    <w:rsid w:val="0030516D"/>
    <w:rsid w:val="0030550B"/>
    <w:rsid w:val="0030641E"/>
    <w:rsid w:val="00306865"/>
    <w:rsid w:val="00306BF3"/>
    <w:rsid w:val="0030777B"/>
    <w:rsid w:val="00307B60"/>
    <w:rsid w:val="003103BA"/>
    <w:rsid w:val="00310C64"/>
    <w:rsid w:val="00310FBE"/>
    <w:rsid w:val="00311029"/>
    <w:rsid w:val="003112A3"/>
    <w:rsid w:val="00312346"/>
    <w:rsid w:val="00312D21"/>
    <w:rsid w:val="003135BD"/>
    <w:rsid w:val="00314A54"/>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76A6"/>
    <w:rsid w:val="00327EE3"/>
    <w:rsid w:val="0033012C"/>
    <w:rsid w:val="0033022E"/>
    <w:rsid w:val="00330AA5"/>
    <w:rsid w:val="0033160E"/>
    <w:rsid w:val="00331DF8"/>
    <w:rsid w:val="00331E1C"/>
    <w:rsid w:val="00332217"/>
    <w:rsid w:val="0033275A"/>
    <w:rsid w:val="00332A75"/>
    <w:rsid w:val="00333662"/>
    <w:rsid w:val="003338E6"/>
    <w:rsid w:val="0033419C"/>
    <w:rsid w:val="0033586A"/>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C5A"/>
    <w:rsid w:val="00372773"/>
    <w:rsid w:val="003729BB"/>
    <w:rsid w:val="00372A64"/>
    <w:rsid w:val="00372BFA"/>
    <w:rsid w:val="00373692"/>
    <w:rsid w:val="00373BE7"/>
    <w:rsid w:val="00373DD6"/>
    <w:rsid w:val="00374B39"/>
    <w:rsid w:val="003752FC"/>
    <w:rsid w:val="003775E1"/>
    <w:rsid w:val="00377C97"/>
    <w:rsid w:val="0038021F"/>
    <w:rsid w:val="00380547"/>
    <w:rsid w:val="003811D8"/>
    <w:rsid w:val="003814CC"/>
    <w:rsid w:val="003827BF"/>
    <w:rsid w:val="00382B32"/>
    <w:rsid w:val="00382BA7"/>
    <w:rsid w:val="00383F77"/>
    <w:rsid w:val="00384727"/>
    <w:rsid w:val="003862AE"/>
    <w:rsid w:val="00386B0A"/>
    <w:rsid w:val="00387050"/>
    <w:rsid w:val="00387B00"/>
    <w:rsid w:val="003909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155"/>
    <w:rsid w:val="003C3B5B"/>
    <w:rsid w:val="003C3F77"/>
    <w:rsid w:val="003C4059"/>
    <w:rsid w:val="003C5A28"/>
    <w:rsid w:val="003C5D32"/>
    <w:rsid w:val="003C5F31"/>
    <w:rsid w:val="003C5F67"/>
    <w:rsid w:val="003C6118"/>
    <w:rsid w:val="003C6B2A"/>
    <w:rsid w:val="003C6B69"/>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E05E0"/>
    <w:rsid w:val="003E0D0B"/>
    <w:rsid w:val="003E1352"/>
    <w:rsid w:val="003E174A"/>
    <w:rsid w:val="003E338E"/>
    <w:rsid w:val="003E414A"/>
    <w:rsid w:val="003E4779"/>
    <w:rsid w:val="003E4CAD"/>
    <w:rsid w:val="003E4EC4"/>
    <w:rsid w:val="003E608A"/>
    <w:rsid w:val="003E60F9"/>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1A59"/>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5714"/>
    <w:rsid w:val="00455C9B"/>
    <w:rsid w:val="0045627F"/>
    <w:rsid w:val="004566BB"/>
    <w:rsid w:val="004568E7"/>
    <w:rsid w:val="004600A0"/>
    <w:rsid w:val="0046053B"/>
    <w:rsid w:val="004605BF"/>
    <w:rsid w:val="00461D74"/>
    <w:rsid w:val="0046257A"/>
    <w:rsid w:val="00462AD0"/>
    <w:rsid w:val="00464015"/>
    <w:rsid w:val="0046506C"/>
    <w:rsid w:val="00465318"/>
    <w:rsid w:val="0046597D"/>
    <w:rsid w:val="004663EB"/>
    <w:rsid w:val="00467A62"/>
    <w:rsid w:val="00467B07"/>
    <w:rsid w:val="0047152A"/>
    <w:rsid w:val="004726EC"/>
    <w:rsid w:val="00472789"/>
    <w:rsid w:val="00472D63"/>
    <w:rsid w:val="00473253"/>
    <w:rsid w:val="004738F5"/>
    <w:rsid w:val="00473B9C"/>
    <w:rsid w:val="00473C0D"/>
    <w:rsid w:val="004741D2"/>
    <w:rsid w:val="00474808"/>
    <w:rsid w:val="00475061"/>
    <w:rsid w:val="00475C42"/>
    <w:rsid w:val="0047675E"/>
    <w:rsid w:val="0047720F"/>
    <w:rsid w:val="00480D58"/>
    <w:rsid w:val="00481539"/>
    <w:rsid w:val="0048157F"/>
    <w:rsid w:val="00481C76"/>
    <w:rsid w:val="004821A8"/>
    <w:rsid w:val="00482766"/>
    <w:rsid w:val="00484365"/>
    <w:rsid w:val="00484936"/>
    <w:rsid w:val="0048603F"/>
    <w:rsid w:val="00486334"/>
    <w:rsid w:val="0048641F"/>
    <w:rsid w:val="0048716D"/>
    <w:rsid w:val="004871D8"/>
    <w:rsid w:val="00487BD4"/>
    <w:rsid w:val="00487FE0"/>
    <w:rsid w:val="0049027C"/>
    <w:rsid w:val="00490896"/>
    <w:rsid w:val="00490926"/>
    <w:rsid w:val="004915CE"/>
    <w:rsid w:val="00491944"/>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45B9"/>
    <w:rsid w:val="004A4E4B"/>
    <w:rsid w:val="004A4FE0"/>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302"/>
    <w:rsid w:val="004B6586"/>
    <w:rsid w:val="004B6CDB"/>
    <w:rsid w:val="004B73F2"/>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3508"/>
    <w:rsid w:val="004E4EF3"/>
    <w:rsid w:val="004E4FBA"/>
    <w:rsid w:val="004E5116"/>
    <w:rsid w:val="004E5B6C"/>
    <w:rsid w:val="004E5C9A"/>
    <w:rsid w:val="004E5CD1"/>
    <w:rsid w:val="004E6B75"/>
    <w:rsid w:val="004E6BAA"/>
    <w:rsid w:val="004E7222"/>
    <w:rsid w:val="004E76D5"/>
    <w:rsid w:val="004F0409"/>
    <w:rsid w:val="004F0546"/>
    <w:rsid w:val="004F0662"/>
    <w:rsid w:val="004F0723"/>
    <w:rsid w:val="004F2F25"/>
    <w:rsid w:val="004F31D7"/>
    <w:rsid w:val="004F360A"/>
    <w:rsid w:val="004F37F5"/>
    <w:rsid w:val="004F4269"/>
    <w:rsid w:val="004F42B9"/>
    <w:rsid w:val="004F4AA6"/>
    <w:rsid w:val="004F5322"/>
    <w:rsid w:val="004F53A4"/>
    <w:rsid w:val="004F576A"/>
    <w:rsid w:val="004F5BFE"/>
    <w:rsid w:val="004F6847"/>
    <w:rsid w:val="004F6A1B"/>
    <w:rsid w:val="00500017"/>
    <w:rsid w:val="0050149A"/>
    <w:rsid w:val="00501859"/>
    <w:rsid w:val="0050364C"/>
    <w:rsid w:val="0050371F"/>
    <w:rsid w:val="00503E35"/>
    <w:rsid w:val="00503F9D"/>
    <w:rsid w:val="0050511D"/>
    <w:rsid w:val="005054DE"/>
    <w:rsid w:val="00505E36"/>
    <w:rsid w:val="0050653D"/>
    <w:rsid w:val="0050695D"/>
    <w:rsid w:val="00506A2A"/>
    <w:rsid w:val="00507C2E"/>
    <w:rsid w:val="00507F50"/>
    <w:rsid w:val="00510207"/>
    <w:rsid w:val="0051116C"/>
    <w:rsid w:val="00511FA5"/>
    <w:rsid w:val="00512264"/>
    <w:rsid w:val="00512443"/>
    <w:rsid w:val="00512797"/>
    <w:rsid w:val="0051280E"/>
    <w:rsid w:val="005129BA"/>
    <w:rsid w:val="00512B1B"/>
    <w:rsid w:val="00512D7B"/>
    <w:rsid w:val="0051304D"/>
    <w:rsid w:val="00513D80"/>
    <w:rsid w:val="00514F28"/>
    <w:rsid w:val="00515251"/>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57A2"/>
    <w:rsid w:val="005269BE"/>
    <w:rsid w:val="00526EED"/>
    <w:rsid w:val="0053038A"/>
    <w:rsid w:val="00531287"/>
    <w:rsid w:val="00531A87"/>
    <w:rsid w:val="005324C1"/>
    <w:rsid w:val="0053462E"/>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D5D"/>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EDB"/>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3E7A"/>
    <w:rsid w:val="00573EF7"/>
    <w:rsid w:val="0057414E"/>
    <w:rsid w:val="00574410"/>
    <w:rsid w:val="00574E1A"/>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3A6D"/>
    <w:rsid w:val="005942F6"/>
    <w:rsid w:val="00594ACE"/>
    <w:rsid w:val="00594EB5"/>
    <w:rsid w:val="00594ECD"/>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4A48"/>
    <w:rsid w:val="005A5170"/>
    <w:rsid w:val="005A5C7B"/>
    <w:rsid w:val="005A5EC2"/>
    <w:rsid w:val="005A61F0"/>
    <w:rsid w:val="005A6404"/>
    <w:rsid w:val="005A7F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344"/>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69CF"/>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4F7"/>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2EA7"/>
    <w:rsid w:val="00614530"/>
    <w:rsid w:val="006146E7"/>
    <w:rsid w:val="00614ACD"/>
    <w:rsid w:val="00615A87"/>
    <w:rsid w:val="00616262"/>
    <w:rsid w:val="00617398"/>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3A0"/>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0652"/>
    <w:rsid w:val="00641FCB"/>
    <w:rsid w:val="00642F1F"/>
    <w:rsid w:val="00643372"/>
    <w:rsid w:val="00643A26"/>
    <w:rsid w:val="006445F0"/>
    <w:rsid w:val="00645259"/>
    <w:rsid w:val="00645524"/>
    <w:rsid w:val="00645A1B"/>
    <w:rsid w:val="00646283"/>
    <w:rsid w:val="0064675A"/>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B0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1B8E"/>
    <w:rsid w:val="006B2284"/>
    <w:rsid w:val="006B2933"/>
    <w:rsid w:val="006B36CF"/>
    <w:rsid w:val="006B4593"/>
    <w:rsid w:val="006B52CF"/>
    <w:rsid w:val="006B56EA"/>
    <w:rsid w:val="006B6319"/>
    <w:rsid w:val="006B71DC"/>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6C31"/>
    <w:rsid w:val="006C77AA"/>
    <w:rsid w:val="006C7B3B"/>
    <w:rsid w:val="006D0509"/>
    <w:rsid w:val="006D0677"/>
    <w:rsid w:val="006D0CA8"/>
    <w:rsid w:val="006D1073"/>
    <w:rsid w:val="006D1556"/>
    <w:rsid w:val="006D25A3"/>
    <w:rsid w:val="006D2D81"/>
    <w:rsid w:val="006D338E"/>
    <w:rsid w:val="006D4345"/>
    <w:rsid w:val="006D4551"/>
    <w:rsid w:val="006D6085"/>
    <w:rsid w:val="006D616E"/>
    <w:rsid w:val="006D6C18"/>
    <w:rsid w:val="006D6F49"/>
    <w:rsid w:val="006D7044"/>
    <w:rsid w:val="006D70E7"/>
    <w:rsid w:val="006D7551"/>
    <w:rsid w:val="006E006F"/>
    <w:rsid w:val="006E0188"/>
    <w:rsid w:val="006E0606"/>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B36"/>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1DF7"/>
    <w:rsid w:val="0072240B"/>
    <w:rsid w:val="007230B0"/>
    <w:rsid w:val="00723B23"/>
    <w:rsid w:val="00723BA5"/>
    <w:rsid w:val="007240D7"/>
    <w:rsid w:val="00724414"/>
    <w:rsid w:val="007249A5"/>
    <w:rsid w:val="00725EED"/>
    <w:rsid w:val="007261CE"/>
    <w:rsid w:val="00726AF6"/>
    <w:rsid w:val="007271FF"/>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1FF"/>
    <w:rsid w:val="007478DF"/>
    <w:rsid w:val="007506A4"/>
    <w:rsid w:val="0075083A"/>
    <w:rsid w:val="00750871"/>
    <w:rsid w:val="00751277"/>
    <w:rsid w:val="00751EF9"/>
    <w:rsid w:val="00751EFA"/>
    <w:rsid w:val="00751F6D"/>
    <w:rsid w:val="007526DF"/>
    <w:rsid w:val="00752828"/>
    <w:rsid w:val="00752A15"/>
    <w:rsid w:val="00753305"/>
    <w:rsid w:val="007536E1"/>
    <w:rsid w:val="00753F4B"/>
    <w:rsid w:val="00754276"/>
    <w:rsid w:val="00754E97"/>
    <w:rsid w:val="00755355"/>
    <w:rsid w:val="007554FB"/>
    <w:rsid w:val="00755A4D"/>
    <w:rsid w:val="00755BB3"/>
    <w:rsid w:val="007563A7"/>
    <w:rsid w:val="00756629"/>
    <w:rsid w:val="00756855"/>
    <w:rsid w:val="007570ED"/>
    <w:rsid w:val="00757453"/>
    <w:rsid w:val="007578ED"/>
    <w:rsid w:val="00757C32"/>
    <w:rsid w:val="00760116"/>
    <w:rsid w:val="00761498"/>
    <w:rsid w:val="00762C9D"/>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6D7E"/>
    <w:rsid w:val="0078737A"/>
    <w:rsid w:val="00787892"/>
    <w:rsid w:val="00787A80"/>
    <w:rsid w:val="00787ED5"/>
    <w:rsid w:val="00791187"/>
    <w:rsid w:val="007914DA"/>
    <w:rsid w:val="00791C66"/>
    <w:rsid w:val="00791E34"/>
    <w:rsid w:val="007920CE"/>
    <w:rsid w:val="0079285B"/>
    <w:rsid w:val="00792948"/>
    <w:rsid w:val="00792E22"/>
    <w:rsid w:val="00793568"/>
    <w:rsid w:val="00793A09"/>
    <w:rsid w:val="00794975"/>
    <w:rsid w:val="007949ED"/>
    <w:rsid w:val="00795A1E"/>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87A"/>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80122E"/>
    <w:rsid w:val="00801743"/>
    <w:rsid w:val="00801B01"/>
    <w:rsid w:val="00801F13"/>
    <w:rsid w:val="00802AA0"/>
    <w:rsid w:val="00802B22"/>
    <w:rsid w:val="00802BD2"/>
    <w:rsid w:val="00802DBB"/>
    <w:rsid w:val="00802E93"/>
    <w:rsid w:val="0080308E"/>
    <w:rsid w:val="00803D81"/>
    <w:rsid w:val="00803DD4"/>
    <w:rsid w:val="00804085"/>
    <w:rsid w:val="00804117"/>
    <w:rsid w:val="00804A7F"/>
    <w:rsid w:val="00805113"/>
    <w:rsid w:val="00806BC8"/>
    <w:rsid w:val="008070E6"/>
    <w:rsid w:val="0080769B"/>
    <w:rsid w:val="00811544"/>
    <w:rsid w:val="008117A8"/>
    <w:rsid w:val="00811A00"/>
    <w:rsid w:val="00811C30"/>
    <w:rsid w:val="00811FF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5FC3"/>
    <w:rsid w:val="008265E4"/>
    <w:rsid w:val="00826C12"/>
    <w:rsid w:val="008275DC"/>
    <w:rsid w:val="00830850"/>
    <w:rsid w:val="00830F11"/>
    <w:rsid w:val="00831199"/>
    <w:rsid w:val="0083135A"/>
    <w:rsid w:val="00831DA1"/>
    <w:rsid w:val="0083209E"/>
    <w:rsid w:val="00832576"/>
    <w:rsid w:val="00832EDF"/>
    <w:rsid w:val="0083322E"/>
    <w:rsid w:val="0083395F"/>
    <w:rsid w:val="00833D9A"/>
    <w:rsid w:val="00834000"/>
    <w:rsid w:val="0083423E"/>
    <w:rsid w:val="008346DD"/>
    <w:rsid w:val="00834DD9"/>
    <w:rsid w:val="00835ED7"/>
    <w:rsid w:val="0083649A"/>
    <w:rsid w:val="008370E4"/>
    <w:rsid w:val="00837726"/>
    <w:rsid w:val="00837854"/>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322E"/>
    <w:rsid w:val="00894F7F"/>
    <w:rsid w:val="00894FFB"/>
    <w:rsid w:val="00895715"/>
    <w:rsid w:val="008960BA"/>
    <w:rsid w:val="00896451"/>
    <w:rsid w:val="00897BBA"/>
    <w:rsid w:val="008A1C5A"/>
    <w:rsid w:val="008A2390"/>
    <w:rsid w:val="008A3129"/>
    <w:rsid w:val="008A3205"/>
    <w:rsid w:val="008A3CA6"/>
    <w:rsid w:val="008A4110"/>
    <w:rsid w:val="008A4C2A"/>
    <w:rsid w:val="008A53D2"/>
    <w:rsid w:val="008A5903"/>
    <w:rsid w:val="008A65C0"/>
    <w:rsid w:val="008A6E04"/>
    <w:rsid w:val="008A7BA9"/>
    <w:rsid w:val="008B01D8"/>
    <w:rsid w:val="008B02BC"/>
    <w:rsid w:val="008B0F5C"/>
    <w:rsid w:val="008B1374"/>
    <w:rsid w:val="008B19A1"/>
    <w:rsid w:val="008B1DA8"/>
    <w:rsid w:val="008B26CE"/>
    <w:rsid w:val="008B4152"/>
    <w:rsid w:val="008B43A2"/>
    <w:rsid w:val="008B466D"/>
    <w:rsid w:val="008B5389"/>
    <w:rsid w:val="008B5818"/>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832"/>
    <w:rsid w:val="008D4F02"/>
    <w:rsid w:val="008D54E0"/>
    <w:rsid w:val="008D5945"/>
    <w:rsid w:val="008D6130"/>
    <w:rsid w:val="008D61AC"/>
    <w:rsid w:val="008D647F"/>
    <w:rsid w:val="008D6DB2"/>
    <w:rsid w:val="008D72AE"/>
    <w:rsid w:val="008E0DB2"/>
    <w:rsid w:val="008E11D4"/>
    <w:rsid w:val="008E1FE4"/>
    <w:rsid w:val="008E29A9"/>
    <w:rsid w:val="008E2A3F"/>
    <w:rsid w:val="008E5369"/>
    <w:rsid w:val="008E6EA4"/>
    <w:rsid w:val="008E74CB"/>
    <w:rsid w:val="008E786A"/>
    <w:rsid w:val="008E7A0F"/>
    <w:rsid w:val="008F0149"/>
    <w:rsid w:val="008F018F"/>
    <w:rsid w:val="008F0341"/>
    <w:rsid w:val="008F0CEF"/>
    <w:rsid w:val="008F121E"/>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16F"/>
    <w:rsid w:val="00933803"/>
    <w:rsid w:val="00933E75"/>
    <w:rsid w:val="00934FC2"/>
    <w:rsid w:val="00935FEE"/>
    <w:rsid w:val="00936127"/>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6FC7"/>
    <w:rsid w:val="00977972"/>
    <w:rsid w:val="0098089B"/>
    <w:rsid w:val="009829A1"/>
    <w:rsid w:val="00983386"/>
    <w:rsid w:val="00984231"/>
    <w:rsid w:val="009849E9"/>
    <w:rsid w:val="00984C3F"/>
    <w:rsid w:val="009868C5"/>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43E9"/>
    <w:rsid w:val="009C4953"/>
    <w:rsid w:val="009C5053"/>
    <w:rsid w:val="009C56F4"/>
    <w:rsid w:val="009C5FBA"/>
    <w:rsid w:val="009D1D5D"/>
    <w:rsid w:val="009D2D01"/>
    <w:rsid w:val="009D30AA"/>
    <w:rsid w:val="009D385A"/>
    <w:rsid w:val="009D3CAA"/>
    <w:rsid w:val="009D3F0B"/>
    <w:rsid w:val="009D6860"/>
    <w:rsid w:val="009D6DE5"/>
    <w:rsid w:val="009D6F3E"/>
    <w:rsid w:val="009D73EA"/>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177"/>
    <w:rsid w:val="00A03270"/>
    <w:rsid w:val="00A03E8F"/>
    <w:rsid w:val="00A045A1"/>
    <w:rsid w:val="00A045D7"/>
    <w:rsid w:val="00A0492F"/>
    <w:rsid w:val="00A04BCF"/>
    <w:rsid w:val="00A04F79"/>
    <w:rsid w:val="00A05592"/>
    <w:rsid w:val="00A0612A"/>
    <w:rsid w:val="00A06527"/>
    <w:rsid w:val="00A067F0"/>
    <w:rsid w:val="00A06A7A"/>
    <w:rsid w:val="00A074C9"/>
    <w:rsid w:val="00A07666"/>
    <w:rsid w:val="00A07AAF"/>
    <w:rsid w:val="00A07BB9"/>
    <w:rsid w:val="00A108F7"/>
    <w:rsid w:val="00A10E59"/>
    <w:rsid w:val="00A114EF"/>
    <w:rsid w:val="00A14552"/>
    <w:rsid w:val="00A1540E"/>
    <w:rsid w:val="00A156A9"/>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388D"/>
    <w:rsid w:val="00A34961"/>
    <w:rsid w:val="00A34CA1"/>
    <w:rsid w:val="00A351AE"/>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DA"/>
    <w:rsid w:val="00A478F2"/>
    <w:rsid w:val="00A5018D"/>
    <w:rsid w:val="00A50799"/>
    <w:rsid w:val="00A5093B"/>
    <w:rsid w:val="00A518D7"/>
    <w:rsid w:val="00A51C71"/>
    <w:rsid w:val="00A52C2A"/>
    <w:rsid w:val="00A537F0"/>
    <w:rsid w:val="00A54CE5"/>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7039"/>
    <w:rsid w:val="00A677C3"/>
    <w:rsid w:val="00A67E1D"/>
    <w:rsid w:val="00A70093"/>
    <w:rsid w:val="00A70237"/>
    <w:rsid w:val="00A706DE"/>
    <w:rsid w:val="00A70CA3"/>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77D1A"/>
    <w:rsid w:val="00A80827"/>
    <w:rsid w:val="00A810EE"/>
    <w:rsid w:val="00A812E5"/>
    <w:rsid w:val="00A81770"/>
    <w:rsid w:val="00A81EB6"/>
    <w:rsid w:val="00A828DC"/>
    <w:rsid w:val="00A832BE"/>
    <w:rsid w:val="00A83724"/>
    <w:rsid w:val="00A8409F"/>
    <w:rsid w:val="00A84510"/>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B6B"/>
    <w:rsid w:val="00AD5D8E"/>
    <w:rsid w:val="00AD6912"/>
    <w:rsid w:val="00AD76C5"/>
    <w:rsid w:val="00AD7AAA"/>
    <w:rsid w:val="00AE06BA"/>
    <w:rsid w:val="00AE28EA"/>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24C1"/>
    <w:rsid w:val="00B129F5"/>
    <w:rsid w:val="00B12B52"/>
    <w:rsid w:val="00B1334D"/>
    <w:rsid w:val="00B13C3E"/>
    <w:rsid w:val="00B13E78"/>
    <w:rsid w:val="00B148F0"/>
    <w:rsid w:val="00B14CF7"/>
    <w:rsid w:val="00B154B9"/>
    <w:rsid w:val="00B16539"/>
    <w:rsid w:val="00B16AE8"/>
    <w:rsid w:val="00B173B9"/>
    <w:rsid w:val="00B17924"/>
    <w:rsid w:val="00B17D16"/>
    <w:rsid w:val="00B20413"/>
    <w:rsid w:val="00B20995"/>
    <w:rsid w:val="00B209B6"/>
    <w:rsid w:val="00B20B35"/>
    <w:rsid w:val="00B21551"/>
    <w:rsid w:val="00B23212"/>
    <w:rsid w:val="00B23466"/>
    <w:rsid w:val="00B23DC1"/>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485"/>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62506"/>
    <w:rsid w:val="00B62D68"/>
    <w:rsid w:val="00B63298"/>
    <w:rsid w:val="00B633D7"/>
    <w:rsid w:val="00B63712"/>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5694"/>
    <w:rsid w:val="00B756BC"/>
    <w:rsid w:val="00B7580E"/>
    <w:rsid w:val="00B75E16"/>
    <w:rsid w:val="00B7624D"/>
    <w:rsid w:val="00B765CE"/>
    <w:rsid w:val="00B768EA"/>
    <w:rsid w:val="00B768F3"/>
    <w:rsid w:val="00B8119C"/>
    <w:rsid w:val="00B819C1"/>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B21"/>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13F"/>
    <w:rsid w:val="00BD468E"/>
    <w:rsid w:val="00BD4A05"/>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4086"/>
    <w:rsid w:val="00BE4617"/>
    <w:rsid w:val="00BE5D6C"/>
    <w:rsid w:val="00BE6048"/>
    <w:rsid w:val="00BE61C9"/>
    <w:rsid w:val="00BE6705"/>
    <w:rsid w:val="00BE6773"/>
    <w:rsid w:val="00BE709D"/>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5E6"/>
    <w:rsid w:val="00C249B0"/>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934"/>
    <w:rsid w:val="00C65D56"/>
    <w:rsid w:val="00C66A91"/>
    <w:rsid w:val="00C670C8"/>
    <w:rsid w:val="00C70E10"/>
    <w:rsid w:val="00C71E06"/>
    <w:rsid w:val="00C72429"/>
    <w:rsid w:val="00C72E9E"/>
    <w:rsid w:val="00C734EE"/>
    <w:rsid w:val="00C738FE"/>
    <w:rsid w:val="00C73D6B"/>
    <w:rsid w:val="00C74436"/>
    <w:rsid w:val="00C74822"/>
    <w:rsid w:val="00C750FF"/>
    <w:rsid w:val="00C7583B"/>
    <w:rsid w:val="00C761FE"/>
    <w:rsid w:val="00C76709"/>
    <w:rsid w:val="00C809AB"/>
    <w:rsid w:val="00C80BFD"/>
    <w:rsid w:val="00C80C2B"/>
    <w:rsid w:val="00C81073"/>
    <w:rsid w:val="00C81B6D"/>
    <w:rsid w:val="00C81CAE"/>
    <w:rsid w:val="00C83380"/>
    <w:rsid w:val="00C834AB"/>
    <w:rsid w:val="00C83853"/>
    <w:rsid w:val="00C83CD0"/>
    <w:rsid w:val="00C84937"/>
    <w:rsid w:val="00C85524"/>
    <w:rsid w:val="00C863B6"/>
    <w:rsid w:val="00C866C2"/>
    <w:rsid w:val="00C86799"/>
    <w:rsid w:val="00C87F14"/>
    <w:rsid w:val="00C90130"/>
    <w:rsid w:val="00C9040F"/>
    <w:rsid w:val="00C90A1B"/>
    <w:rsid w:val="00C90AC8"/>
    <w:rsid w:val="00C91745"/>
    <w:rsid w:val="00C91FC8"/>
    <w:rsid w:val="00C9292E"/>
    <w:rsid w:val="00C932CC"/>
    <w:rsid w:val="00C939F2"/>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11E4"/>
    <w:rsid w:val="00CB2282"/>
    <w:rsid w:val="00CB2D03"/>
    <w:rsid w:val="00CB31C0"/>
    <w:rsid w:val="00CB3396"/>
    <w:rsid w:val="00CB379D"/>
    <w:rsid w:val="00CB3829"/>
    <w:rsid w:val="00CB39E4"/>
    <w:rsid w:val="00CB3CB5"/>
    <w:rsid w:val="00CB4654"/>
    <w:rsid w:val="00CB4680"/>
    <w:rsid w:val="00CB502F"/>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BF4"/>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B8E"/>
    <w:rsid w:val="00D25CF6"/>
    <w:rsid w:val="00D2641D"/>
    <w:rsid w:val="00D2651B"/>
    <w:rsid w:val="00D266FC"/>
    <w:rsid w:val="00D269BC"/>
    <w:rsid w:val="00D27404"/>
    <w:rsid w:val="00D27456"/>
    <w:rsid w:val="00D277BF"/>
    <w:rsid w:val="00D27963"/>
    <w:rsid w:val="00D30062"/>
    <w:rsid w:val="00D304F8"/>
    <w:rsid w:val="00D307BA"/>
    <w:rsid w:val="00D30923"/>
    <w:rsid w:val="00D315AC"/>
    <w:rsid w:val="00D31718"/>
    <w:rsid w:val="00D31E84"/>
    <w:rsid w:val="00D33559"/>
    <w:rsid w:val="00D33B08"/>
    <w:rsid w:val="00D33E46"/>
    <w:rsid w:val="00D356B9"/>
    <w:rsid w:val="00D37584"/>
    <w:rsid w:val="00D37C2E"/>
    <w:rsid w:val="00D402C0"/>
    <w:rsid w:val="00D407C2"/>
    <w:rsid w:val="00D40E9E"/>
    <w:rsid w:val="00D4227C"/>
    <w:rsid w:val="00D42E96"/>
    <w:rsid w:val="00D4385B"/>
    <w:rsid w:val="00D44281"/>
    <w:rsid w:val="00D449E7"/>
    <w:rsid w:val="00D44D7F"/>
    <w:rsid w:val="00D450AF"/>
    <w:rsid w:val="00D451C4"/>
    <w:rsid w:val="00D45299"/>
    <w:rsid w:val="00D45A44"/>
    <w:rsid w:val="00D45CA7"/>
    <w:rsid w:val="00D46973"/>
    <w:rsid w:val="00D4764D"/>
    <w:rsid w:val="00D47942"/>
    <w:rsid w:val="00D47BC4"/>
    <w:rsid w:val="00D47D4D"/>
    <w:rsid w:val="00D47F0B"/>
    <w:rsid w:val="00D50047"/>
    <w:rsid w:val="00D503EE"/>
    <w:rsid w:val="00D50A2D"/>
    <w:rsid w:val="00D50A4F"/>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3E9"/>
    <w:rsid w:val="00D65D1C"/>
    <w:rsid w:val="00D67269"/>
    <w:rsid w:val="00D675EF"/>
    <w:rsid w:val="00D67AE5"/>
    <w:rsid w:val="00D67F10"/>
    <w:rsid w:val="00D67F9A"/>
    <w:rsid w:val="00D70130"/>
    <w:rsid w:val="00D70B66"/>
    <w:rsid w:val="00D70D5F"/>
    <w:rsid w:val="00D70F33"/>
    <w:rsid w:val="00D71002"/>
    <w:rsid w:val="00D716CF"/>
    <w:rsid w:val="00D726EA"/>
    <w:rsid w:val="00D73422"/>
    <w:rsid w:val="00D73B71"/>
    <w:rsid w:val="00D73D12"/>
    <w:rsid w:val="00D743BA"/>
    <w:rsid w:val="00D74713"/>
    <w:rsid w:val="00D7683E"/>
    <w:rsid w:val="00D7691B"/>
    <w:rsid w:val="00D76966"/>
    <w:rsid w:val="00D7702E"/>
    <w:rsid w:val="00D7746F"/>
    <w:rsid w:val="00D778DB"/>
    <w:rsid w:val="00D8011D"/>
    <w:rsid w:val="00D80BCF"/>
    <w:rsid w:val="00D81716"/>
    <w:rsid w:val="00D82082"/>
    <w:rsid w:val="00D8231B"/>
    <w:rsid w:val="00D828CC"/>
    <w:rsid w:val="00D839CF"/>
    <w:rsid w:val="00D83C0B"/>
    <w:rsid w:val="00D84E7B"/>
    <w:rsid w:val="00D84F96"/>
    <w:rsid w:val="00D85FDC"/>
    <w:rsid w:val="00D866E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7214"/>
    <w:rsid w:val="00DB00E5"/>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11C"/>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393F"/>
    <w:rsid w:val="00DE4B28"/>
    <w:rsid w:val="00DE4CC4"/>
    <w:rsid w:val="00DE4F29"/>
    <w:rsid w:val="00DE5E08"/>
    <w:rsid w:val="00DE6E83"/>
    <w:rsid w:val="00DE7416"/>
    <w:rsid w:val="00DE7427"/>
    <w:rsid w:val="00DE7B0B"/>
    <w:rsid w:val="00DF1921"/>
    <w:rsid w:val="00DF2B5C"/>
    <w:rsid w:val="00DF2E6A"/>
    <w:rsid w:val="00DF3B7C"/>
    <w:rsid w:val="00DF5319"/>
    <w:rsid w:val="00DF5B45"/>
    <w:rsid w:val="00DF73B0"/>
    <w:rsid w:val="00DF74AB"/>
    <w:rsid w:val="00DF793F"/>
    <w:rsid w:val="00DF7AB2"/>
    <w:rsid w:val="00DF7BD3"/>
    <w:rsid w:val="00DF7F46"/>
    <w:rsid w:val="00E000E2"/>
    <w:rsid w:val="00E008AB"/>
    <w:rsid w:val="00E00F18"/>
    <w:rsid w:val="00E028B0"/>
    <w:rsid w:val="00E03E11"/>
    <w:rsid w:val="00E04067"/>
    <w:rsid w:val="00E0483D"/>
    <w:rsid w:val="00E05798"/>
    <w:rsid w:val="00E05D4A"/>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199"/>
    <w:rsid w:val="00E25791"/>
    <w:rsid w:val="00E25E5F"/>
    <w:rsid w:val="00E26878"/>
    <w:rsid w:val="00E26A98"/>
    <w:rsid w:val="00E2703D"/>
    <w:rsid w:val="00E27292"/>
    <w:rsid w:val="00E274EA"/>
    <w:rsid w:val="00E303F7"/>
    <w:rsid w:val="00E3064C"/>
    <w:rsid w:val="00E30F54"/>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5BC"/>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2271"/>
    <w:rsid w:val="00E62856"/>
    <w:rsid w:val="00E62CE6"/>
    <w:rsid w:val="00E636BC"/>
    <w:rsid w:val="00E637D2"/>
    <w:rsid w:val="00E639E0"/>
    <w:rsid w:val="00E63C9C"/>
    <w:rsid w:val="00E662A0"/>
    <w:rsid w:val="00E6648C"/>
    <w:rsid w:val="00E66A42"/>
    <w:rsid w:val="00E67186"/>
    <w:rsid w:val="00E675FC"/>
    <w:rsid w:val="00E71583"/>
    <w:rsid w:val="00E71AB1"/>
    <w:rsid w:val="00E71E0B"/>
    <w:rsid w:val="00E72446"/>
    <w:rsid w:val="00E726B0"/>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4622"/>
    <w:rsid w:val="00E84A59"/>
    <w:rsid w:val="00E852A1"/>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74C3"/>
    <w:rsid w:val="00EA7DF0"/>
    <w:rsid w:val="00EB0737"/>
    <w:rsid w:val="00EB084D"/>
    <w:rsid w:val="00EB1139"/>
    <w:rsid w:val="00EB349F"/>
    <w:rsid w:val="00EB3561"/>
    <w:rsid w:val="00EB41BB"/>
    <w:rsid w:val="00EB4802"/>
    <w:rsid w:val="00EB5184"/>
    <w:rsid w:val="00EB5679"/>
    <w:rsid w:val="00EB5D90"/>
    <w:rsid w:val="00EB6DD5"/>
    <w:rsid w:val="00EC0115"/>
    <w:rsid w:val="00EC0E79"/>
    <w:rsid w:val="00EC1E1E"/>
    <w:rsid w:val="00EC24D8"/>
    <w:rsid w:val="00EC24F4"/>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F006C9"/>
    <w:rsid w:val="00F0088E"/>
    <w:rsid w:val="00F0200F"/>
    <w:rsid w:val="00F02A59"/>
    <w:rsid w:val="00F0392F"/>
    <w:rsid w:val="00F049EA"/>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34F0"/>
    <w:rsid w:val="00F5400E"/>
    <w:rsid w:val="00F54AAD"/>
    <w:rsid w:val="00F54FFE"/>
    <w:rsid w:val="00F5528C"/>
    <w:rsid w:val="00F55401"/>
    <w:rsid w:val="00F55818"/>
    <w:rsid w:val="00F566CD"/>
    <w:rsid w:val="00F577F3"/>
    <w:rsid w:val="00F610ED"/>
    <w:rsid w:val="00F613B2"/>
    <w:rsid w:val="00F61857"/>
    <w:rsid w:val="00F61F34"/>
    <w:rsid w:val="00F632CA"/>
    <w:rsid w:val="00F633C3"/>
    <w:rsid w:val="00F638A9"/>
    <w:rsid w:val="00F6480A"/>
    <w:rsid w:val="00F65472"/>
    <w:rsid w:val="00F65502"/>
    <w:rsid w:val="00F67B62"/>
    <w:rsid w:val="00F704A2"/>
    <w:rsid w:val="00F710D5"/>
    <w:rsid w:val="00F71261"/>
    <w:rsid w:val="00F71402"/>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DB"/>
    <w:rsid w:val="00F91ABC"/>
    <w:rsid w:val="00F91B61"/>
    <w:rsid w:val="00F91C5C"/>
    <w:rsid w:val="00F924F2"/>
    <w:rsid w:val="00F92831"/>
    <w:rsid w:val="00F93717"/>
    <w:rsid w:val="00F93DCC"/>
    <w:rsid w:val="00F93F2A"/>
    <w:rsid w:val="00F951F9"/>
    <w:rsid w:val="00F95347"/>
    <w:rsid w:val="00F956C3"/>
    <w:rsid w:val="00F95F03"/>
    <w:rsid w:val="00F9691D"/>
    <w:rsid w:val="00F96F40"/>
    <w:rsid w:val="00F970B5"/>
    <w:rsid w:val="00F9769F"/>
    <w:rsid w:val="00F9785D"/>
    <w:rsid w:val="00F97BE8"/>
    <w:rsid w:val="00FA020E"/>
    <w:rsid w:val="00FA04F2"/>
    <w:rsid w:val="00FA0C83"/>
    <w:rsid w:val="00FA1102"/>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96C"/>
    <w:rsid w:val="00FC3CEA"/>
    <w:rsid w:val="00FC427A"/>
    <w:rsid w:val="00FC50D8"/>
    <w:rsid w:val="00FC577A"/>
    <w:rsid w:val="00FC5E8F"/>
    <w:rsid w:val="00FC634D"/>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E7D"/>
    <w:rsid w:val="00FE1613"/>
    <w:rsid w:val="00FE1C7E"/>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2B7"/>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C0EDE"/>
    <w:pPr>
      <w:jc w:val="both"/>
    </w:pPr>
    <w:rPr>
      <w:sz w:val="22"/>
    </w:rPr>
  </w:style>
  <w:style w:type="paragraph" w:styleId="Kop1">
    <w:name w:val="heading 1"/>
    <w:basedOn w:val="Standaard"/>
    <w:next w:val="Standaard"/>
    <w:link w:val="Kop1Ch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Kop2">
    <w:name w:val="heading 2"/>
    <w:basedOn w:val="Standaard"/>
    <w:next w:val="Standaard"/>
    <w:link w:val="Kop2Ch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Kop3">
    <w:name w:val="heading 3"/>
    <w:basedOn w:val="Standaard"/>
    <w:next w:val="Standaard"/>
    <w:link w:val="Kop3Ch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Kop4">
    <w:name w:val="heading 4"/>
    <w:basedOn w:val="Standaard"/>
    <w:next w:val="Standaard"/>
    <w:link w:val="Kop4Ch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Kop5">
    <w:name w:val="heading 5"/>
    <w:basedOn w:val="Standaard"/>
    <w:next w:val="Standaard"/>
    <w:link w:val="Kop5Char"/>
    <w:uiPriority w:val="9"/>
    <w:unhideWhenUsed/>
    <w:qFormat/>
    <w:rsid w:val="00955631"/>
    <w:pPr>
      <w:spacing w:after="120"/>
      <w:outlineLvl w:val="4"/>
    </w:pPr>
    <w:rPr>
      <w:rFonts w:ascii="Comic Sans MS" w:hAnsi="Comic Sans MS"/>
      <w:i/>
      <w:color w:val="3E762A" w:themeColor="accent1" w:themeShade="BF"/>
      <w:spacing w:val="10"/>
    </w:rPr>
  </w:style>
  <w:style w:type="paragraph" w:styleId="Kop6">
    <w:name w:val="heading 6"/>
    <w:basedOn w:val="Standaard"/>
    <w:next w:val="Standaard"/>
    <w:link w:val="Kop6Ch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Kop7">
    <w:name w:val="heading 7"/>
    <w:basedOn w:val="Standaard"/>
    <w:next w:val="Standaard"/>
    <w:link w:val="Kop7Char"/>
    <w:uiPriority w:val="9"/>
    <w:unhideWhenUsed/>
    <w:qFormat/>
    <w:rsid w:val="00A367BE"/>
    <w:pPr>
      <w:spacing w:before="200" w:after="0"/>
      <w:outlineLvl w:val="6"/>
    </w:pPr>
    <w:rPr>
      <w:caps/>
      <w:color w:val="3E762A" w:themeColor="accent1" w:themeShade="BF"/>
      <w:spacing w:val="10"/>
    </w:rPr>
  </w:style>
  <w:style w:type="paragraph" w:styleId="Kop8">
    <w:name w:val="heading 8"/>
    <w:basedOn w:val="Standaard"/>
    <w:next w:val="Standaard"/>
    <w:link w:val="Kop8Char"/>
    <w:uiPriority w:val="9"/>
    <w:unhideWhenUsed/>
    <w:qFormat/>
    <w:rsid w:val="00A367BE"/>
    <w:pPr>
      <w:spacing w:before="200" w:after="0"/>
      <w:outlineLvl w:val="7"/>
    </w:pPr>
    <w:rPr>
      <w:caps/>
      <w:spacing w:val="10"/>
      <w:sz w:val="18"/>
      <w:szCs w:val="18"/>
    </w:rPr>
  </w:style>
  <w:style w:type="paragraph" w:styleId="Kop9">
    <w:name w:val="heading 9"/>
    <w:basedOn w:val="Standaard"/>
    <w:next w:val="Standaard"/>
    <w:link w:val="Kop9Char"/>
    <w:uiPriority w:val="9"/>
    <w:unhideWhenUsed/>
    <w:qFormat/>
    <w:rsid w:val="00A367BE"/>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aliases w:val="Voettekst Char"/>
    <w:basedOn w:val="Standaard"/>
    <w:link w:val="VoettekstChar1"/>
    <w:pPr>
      <w:tabs>
        <w:tab w:val="center" w:pos="4536"/>
        <w:tab w:val="right" w:pos="9072"/>
      </w:tabs>
    </w:pPr>
  </w:style>
  <w:style w:type="paragraph" w:styleId="Koptekst">
    <w:name w:val="header"/>
    <w:basedOn w:val="Standaard"/>
    <w:link w:val="KoptekstChar"/>
    <w:uiPriority w:val="99"/>
    <w:pPr>
      <w:tabs>
        <w:tab w:val="center" w:pos="4536"/>
        <w:tab w:val="right" w:pos="9072"/>
      </w:tabs>
    </w:pPr>
  </w:style>
  <w:style w:type="character" w:styleId="Voetnootmarkering">
    <w:name w:val="footnote reference"/>
    <w:basedOn w:val="Standaardalinea-lettertype"/>
    <w:semiHidden/>
    <w:rPr>
      <w:vertAlign w:val="superscript"/>
    </w:rPr>
  </w:style>
  <w:style w:type="character" w:styleId="Hyperlink">
    <w:name w:val="Hyperlink"/>
    <w:basedOn w:val="Standaardalinea-lettertype"/>
    <w:uiPriority w:val="99"/>
    <w:rPr>
      <w:color w:val="0000FF"/>
      <w:u w:val="single"/>
    </w:rPr>
  </w:style>
  <w:style w:type="paragraph" w:styleId="Plattetekstinspringen3">
    <w:name w:val="Body Text Indent 3"/>
    <w:basedOn w:val="Standaard"/>
    <w:pPr>
      <w:ind w:left="1260" w:hanging="900"/>
    </w:pPr>
  </w:style>
  <w:style w:type="paragraph" w:styleId="Plattetekstinspringen">
    <w:name w:val="Body Text Indent"/>
    <w:basedOn w:val="Standaard"/>
    <w:pPr>
      <w:ind w:left="-284"/>
    </w:pPr>
    <w:rPr>
      <w:rFonts w:ascii="Times" w:hAnsi="Times"/>
      <w:noProof/>
    </w:rPr>
  </w:style>
  <w:style w:type="paragraph" w:styleId="Plattetekst2">
    <w:name w:val="Body Text 2"/>
    <w:basedOn w:val="Standaard"/>
    <w:rPr>
      <w:b/>
      <w:bCs/>
    </w:rPr>
  </w:style>
  <w:style w:type="paragraph" w:styleId="Plattetekst">
    <w:name w:val="Body Text"/>
    <w:basedOn w:val="Standaard"/>
    <w:link w:val="PlattetekstChar"/>
  </w:style>
  <w:style w:type="paragraph" w:styleId="Plattetekstinspringen2">
    <w:name w:val="Body Text Indent 2"/>
    <w:basedOn w:val="Standaard"/>
    <w:pPr>
      <w:ind w:left="1080" w:hanging="1080"/>
    </w:pPr>
    <w:rPr>
      <w:sz w:val="16"/>
    </w:rPr>
  </w:style>
  <w:style w:type="paragraph" w:styleId="Bijschrift">
    <w:name w:val="caption"/>
    <w:basedOn w:val="Standaard"/>
    <w:next w:val="Standaard"/>
    <w:uiPriority w:val="35"/>
    <w:unhideWhenUsed/>
    <w:qFormat/>
    <w:rsid w:val="005968AD"/>
    <w:rPr>
      <w:b/>
      <w:bCs/>
      <w:color w:val="3E762A" w:themeColor="accent1" w:themeShade="BF"/>
      <w:sz w:val="18"/>
      <w:szCs w:val="16"/>
    </w:rPr>
  </w:style>
  <w:style w:type="paragraph" w:styleId="Voetnoottekst">
    <w:name w:val="footnote text"/>
    <w:basedOn w:val="Standaard"/>
    <w:link w:val="VoetnoottekstChar"/>
    <w:semiHidden/>
  </w:style>
  <w:style w:type="character" w:styleId="Paginanummer">
    <w:name w:val="page number"/>
    <w:basedOn w:val="Standaardalinea-lettertype"/>
  </w:style>
  <w:style w:type="paragraph" w:styleId="Plattetekst3">
    <w:name w:val="Body Text 3"/>
    <w:basedOn w:val="Standaard"/>
  </w:style>
  <w:style w:type="paragraph" w:styleId="Inhopg1">
    <w:name w:val="toc 1"/>
    <w:basedOn w:val="Standaard"/>
    <w:next w:val="Standaard"/>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Inhopg3">
    <w:name w:val="toc 3"/>
    <w:basedOn w:val="Standaard"/>
    <w:next w:val="Standaard"/>
    <w:autoRedefine/>
    <w:uiPriority w:val="39"/>
    <w:pPr>
      <w:ind w:left="480"/>
    </w:pPr>
  </w:style>
  <w:style w:type="paragraph" w:styleId="Inhopg2">
    <w:name w:val="toc 2"/>
    <w:basedOn w:val="Standaard"/>
    <w:next w:val="Standaard"/>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Inhopg4">
    <w:name w:val="toc 4"/>
    <w:basedOn w:val="Standaard"/>
    <w:next w:val="Standaard"/>
    <w:autoRedefine/>
    <w:semiHidden/>
    <w:pPr>
      <w:ind w:left="720"/>
    </w:pPr>
  </w:style>
  <w:style w:type="paragraph" w:styleId="Titel">
    <w:name w:val="Title"/>
    <w:basedOn w:val="Standaard"/>
    <w:next w:val="Standaard"/>
    <w:link w:val="TitelChar"/>
    <w:rsid w:val="00A367BE"/>
    <w:pPr>
      <w:spacing w:after="0"/>
    </w:pPr>
    <w:rPr>
      <w:rFonts w:asciiTheme="majorHAnsi" w:eastAsiaTheme="majorEastAsia" w:hAnsiTheme="majorHAnsi" w:cstheme="majorBidi"/>
      <w:caps/>
      <w:color w:val="549E39" w:themeColor="accent1"/>
      <w:spacing w:val="10"/>
      <w:sz w:val="52"/>
      <w:szCs w:val="52"/>
    </w:rPr>
  </w:style>
  <w:style w:type="paragraph" w:styleId="Documentstructuur">
    <w:name w:val="Document Map"/>
    <w:basedOn w:val="Standaard"/>
    <w:semiHidden/>
    <w:pPr>
      <w:shd w:val="clear" w:color="auto" w:fill="000080"/>
    </w:pPr>
    <w:rPr>
      <w:rFonts w:ascii="Tahoma" w:hAnsi="Tahoma" w:cs="Tahoma"/>
    </w:r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styleId="Ballontekst">
    <w:name w:val="Balloon Text"/>
    <w:basedOn w:val="Standaard"/>
    <w:semiHidden/>
    <w:rPr>
      <w:rFonts w:ascii="Tahoma" w:hAnsi="Tahoma" w:cs="Tahoma"/>
      <w:sz w:val="16"/>
      <w:szCs w:val="16"/>
    </w:rPr>
  </w:style>
  <w:style w:type="paragraph" w:styleId="Normaalweb">
    <w:name w:val="Normal (Web)"/>
    <w:basedOn w:val="Standaard"/>
    <w:uiPriority w:val="99"/>
    <w:pPr>
      <w:spacing w:before="100" w:beforeAutospacing="1" w:after="100" w:afterAutospacing="1"/>
    </w:pPr>
  </w:style>
  <w:style w:type="character" w:styleId="Zwaar">
    <w:name w:val="Strong"/>
    <w:uiPriority w:val="22"/>
    <w:rsid w:val="00A367BE"/>
    <w:rPr>
      <w:b/>
      <w:bCs/>
    </w:rPr>
  </w:style>
  <w:style w:type="paragraph" w:customStyle="1" w:styleId="txt">
    <w:name w:val="txt"/>
    <w:basedOn w:val="Standaard"/>
    <w:pPr>
      <w:spacing w:before="60" w:after="60" w:line="240" w:lineRule="exact"/>
    </w:pPr>
    <w:rPr>
      <w:rFonts w:ascii="StoneSerif" w:hAnsi="StoneSerif"/>
      <w:lang w:val="en-GB" w:eastAsia="en-US"/>
    </w:rPr>
  </w:style>
  <w:style w:type="character" w:styleId="GevolgdeHyperlink">
    <w:name w:val="FollowedHyperlink"/>
    <w:basedOn w:val="Standaardalinea-lettertype"/>
    <w:rPr>
      <w:color w:val="800080"/>
      <w:u w:val="single"/>
    </w:rPr>
  </w:style>
  <w:style w:type="character" w:customStyle="1" w:styleId="CarCar5">
    <w:name w:val="Car Car5"/>
    <w:basedOn w:val="Standaardalinea-lettertype"/>
    <w:rPr>
      <w:b/>
      <w:bCs/>
      <w:noProof/>
      <w:snapToGrid w:val="0"/>
      <w:color w:val="000000"/>
      <w:sz w:val="32"/>
      <w:szCs w:val="32"/>
      <w:lang w:val="fr-BE" w:eastAsia="fr-FR" w:bidi="ar-SA"/>
    </w:rPr>
  </w:style>
  <w:style w:type="character" w:customStyle="1" w:styleId="CarCar">
    <w:name w:val="Car Car"/>
    <w:basedOn w:val="Standaardalinea-lettertype"/>
    <w:rPr>
      <w:szCs w:val="24"/>
      <w:lang w:val="fr-FR" w:eastAsia="fr-FR" w:bidi="ar-SA"/>
    </w:rPr>
  </w:style>
  <w:style w:type="paragraph" w:customStyle="1" w:styleId="Level1">
    <w:name w:val="Level 1"/>
    <w:basedOn w:val="Standaard"/>
    <w:pPr>
      <w:widowControl w:val="0"/>
      <w:numPr>
        <w:numId w:val="1"/>
      </w:numPr>
      <w:autoSpaceDE w:val="0"/>
      <w:autoSpaceDN w:val="0"/>
      <w:adjustRightInd w:val="0"/>
      <w:outlineLvl w:val="0"/>
    </w:pPr>
    <w:rPr>
      <w:lang w:val="en-US"/>
    </w:rPr>
  </w:style>
  <w:style w:type="paragraph" w:customStyle="1" w:styleId="texte">
    <w:name w:val="texte"/>
    <w:basedOn w:val="Standaard"/>
    <w:pPr>
      <w:spacing w:before="100" w:beforeAutospacing="1" w:after="100" w:afterAutospacing="1"/>
    </w:pPr>
    <w:rPr>
      <w:rFonts w:ascii="Arial Unicode MS" w:eastAsia="Arial Unicode MS" w:hAnsi="Arial Unicode MS" w:cs="Arial Unicode MS"/>
    </w:rPr>
  </w:style>
  <w:style w:type="paragraph" w:customStyle="1" w:styleId="base">
    <w:name w:val="base"/>
    <w:basedOn w:val="Standaard"/>
    <w:pPr>
      <w:spacing w:before="100" w:beforeAutospacing="1" w:after="100" w:afterAutospacing="1"/>
    </w:pPr>
    <w:rPr>
      <w:rFonts w:ascii="Verdana" w:hAnsi="Verdana"/>
      <w:sz w:val="17"/>
      <w:szCs w:val="17"/>
    </w:rPr>
  </w:style>
  <w:style w:type="paragraph" w:customStyle="1" w:styleId="titregrasoulign">
    <w:name w:val="titregrasoulign"/>
    <w:basedOn w:val="Standaard"/>
    <w:pPr>
      <w:spacing w:before="100" w:beforeAutospacing="1" w:after="100" w:afterAutospacing="1"/>
    </w:p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style>
  <w:style w:type="character" w:customStyle="1" w:styleId="CarCar1">
    <w:name w:val="Car Car1"/>
    <w:basedOn w:val="Standaardalinea-lettertype"/>
    <w:rPr>
      <w:b/>
      <w:noProof/>
      <w:snapToGrid w:val="0"/>
      <w:color w:val="000000"/>
      <w:sz w:val="32"/>
      <w:szCs w:val="32"/>
      <w:lang w:val="fr-BE" w:eastAsia="fr-FR" w:bidi="ar-SA"/>
    </w:rPr>
  </w:style>
  <w:style w:type="character" w:customStyle="1" w:styleId="CarCar2">
    <w:name w:val="Car Car2"/>
    <w:basedOn w:val="Standaardalinea-lettertype"/>
    <w:rPr>
      <w:rFonts w:ascii="Freestyle Script" w:hAnsi="Freestyle Script"/>
      <w:b/>
      <w:noProof/>
      <w:sz w:val="56"/>
      <w:szCs w:val="48"/>
      <w:lang w:val="fr-FR" w:eastAsia="fr-FR" w:bidi="ar-SA"/>
    </w:rPr>
  </w:style>
  <w:style w:type="paragraph" w:styleId="Tekstzonderopmaak">
    <w:name w:val="Plain Text"/>
    <w:basedOn w:val="Standaard"/>
    <w:link w:val="TekstzonderopmaakChar"/>
    <w:uiPriority w:val="99"/>
    <w:pPr>
      <w:spacing w:before="100" w:beforeAutospacing="1" w:after="100" w:afterAutospacing="1"/>
    </w:pPr>
  </w:style>
  <w:style w:type="paragraph" w:styleId="Ondertitel">
    <w:name w:val="Subtitle"/>
    <w:basedOn w:val="Standaard"/>
    <w:next w:val="Standaard"/>
    <w:link w:val="OndertitelChar"/>
    <w:uiPriority w:val="11"/>
    <w:rsid w:val="00A367BE"/>
    <w:pPr>
      <w:spacing w:after="500"/>
    </w:pPr>
    <w:rPr>
      <w:caps/>
      <w:color w:val="595959" w:themeColor="text1" w:themeTint="A6"/>
      <w:spacing w:val="10"/>
      <w:sz w:val="21"/>
      <w:szCs w:val="21"/>
    </w:rPr>
  </w:style>
  <w:style w:type="paragraph" w:styleId="Bloktekst">
    <w:name w:val="Block Text"/>
    <w:basedOn w:val="Standaard"/>
    <w:pPr>
      <w:ind w:left="-142" w:right="-72"/>
    </w:pPr>
  </w:style>
  <w:style w:type="table" w:styleId="Tabelraster">
    <w:name w:val="Table Grid"/>
    <w:basedOn w:val="Standaardtabe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Standaard"/>
    <w:pPr>
      <w:spacing w:before="100" w:beforeAutospacing="1" w:after="100" w:afterAutospacing="1" w:line="210" w:lineRule="atLeast"/>
    </w:pPr>
    <w:rPr>
      <w:rFonts w:ascii="Verdana" w:hAnsi="Verdana"/>
      <w:color w:val="000000"/>
      <w:sz w:val="17"/>
      <w:szCs w:val="17"/>
    </w:rPr>
  </w:style>
  <w:style w:type="paragraph" w:styleId="Lijstopsomteken">
    <w:name w:val="List Bullet"/>
    <w:pPr>
      <w:spacing w:after="120" w:line="300" w:lineRule="auto"/>
      <w:ind w:left="187" w:hanging="187"/>
    </w:pPr>
    <w:rPr>
      <w:rFonts w:ascii="Eras Medium ITC" w:hAnsi="Eras Medium ITC"/>
      <w:color w:val="000000"/>
      <w:kern w:val="28"/>
      <w:lang w:val="fr-FR" w:eastAsia="fr-FR"/>
    </w:rPr>
  </w:style>
  <w:style w:type="paragraph" w:styleId="Eindnoottekst">
    <w:name w:val="endnote text"/>
    <w:basedOn w:val="Standaard"/>
    <w:semiHidden/>
  </w:style>
  <w:style w:type="character" w:styleId="Eindnootmarkering">
    <w:name w:val="endnote reference"/>
    <w:basedOn w:val="Standaardalinea-lettertype"/>
    <w:semiHidden/>
    <w:rPr>
      <w:vertAlign w:val="superscript"/>
    </w:rPr>
  </w:style>
  <w:style w:type="paragraph" w:customStyle="1" w:styleId="graphique">
    <w:name w:val="graphique"/>
    <w:basedOn w:val="Standaard"/>
    <w:pPr>
      <w:spacing w:line="360" w:lineRule="auto"/>
    </w:pPr>
    <w:rPr>
      <w:rFonts w:ascii="Arial" w:eastAsia="SimSun" w:hAnsi="Arial" w:cs="Arial"/>
      <w:szCs w:val="22"/>
      <w:u w:val="single"/>
      <w:lang w:eastAsia="zh-CN"/>
    </w:rPr>
  </w:style>
  <w:style w:type="character" w:customStyle="1" w:styleId="graphiqueCar1">
    <w:name w:val="graphique Car1"/>
    <w:basedOn w:val="Standaardalinea-lettertype"/>
    <w:rPr>
      <w:rFonts w:ascii="Arial" w:eastAsia="SimSun" w:hAnsi="Arial" w:cs="Arial"/>
      <w:sz w:val="22"/>
      <w:szCs w:val="22"/>
      <w:u w:val="single"/>
      <w:lang w:val="fr-BE" w:eastAsia="zh-CN" w:bidi="ar-SA"/>
    </w:rPr>
  </w:style>
  <w:style w:type="paragraph" w:customStyle="1" w:styleId="source">
    <w:name w:val="source"/>
    <w:basedOn w:val="Standaard"/>
    <w:pPr>
      <w:spacing w:line="360" w:lineRule="auto"/>
    </w:pPr>
    <w:rPr>
      <w:rFonts w:ascii="Arial" w:eastAsia="SimSun" w:hAnsi="Arial"/>
      <w:sz w:val="18"/>
      <w:szCs w:val="18"/>
      <w:lang w:eastAsia="zh-CN"/>
    </w:rPr>
  </w:style>
  <w:style w:type="character" w:customStyle="1" w:styleId="sourceCar">
    <w:name w:val="source Car"/>
    <w:basedOn w:val="Standaardalinea-lettertype"/>
    <w:rPr>
      <w:rFonts w:ascii="Arial" w:eastAsia="SimSun" w:hAnsi="Arial"/>
      <w:sz w:val="18"/>
      <w:szCs w:val="18"/>
      <w:lang w:val="fr-BE" w:eastAsia="zh-CN" w:bidi="ar-SA"/>
    </w:rPr>
  </w:style>
  <w:style w:type="paragraph" w:customStyle="1" w:styleId="graphiqueCar">
    <w:name w:val="graphique Car"/>
    <w:basedOn w:val="Standaard"/>
    <w:pPr>
      <w:spacing w:line="360" w:lineRule="auto"/>
    </w:pPr>
    <w:rPr>
      <w:rFonts w:ascii="Arial" w:eastAsia="SimSun" w:hAnsi="Arial" w:cs="Arial"/>
      <w:szCs w:val="22"/>
      <w:u w:val="single"/>
      <w:lang w:eastAsia="zh-CN"/>
    </w:rPr>
  </w:style>
  <w:style w:type="character" w:customStyle="1" w:styleId="graphiqueCarCar">
    <w:name w:val="graphique Car Car"/>
    <w:basedOn w:val="Standaardalinea-lettertype"/>
    <w:rPr>
      <w:rFonts w:ascii="Arial" w:eastAsia="SimSun" w:hAnsi="Arial" w:cs="Arial"/>
      <w:sz w:val="22"/>
      <w:szCs w:val="22"/>
      <w:u w:val="single"/>
      <w:lang w:val="fr-BE" w:eastAsia="zh-CN" w:bidi="ar-SA"/>
    </w:rPr>
  </w:style>
  <w:style w:type="paragraph" w:customStyle="1" w:styleId="mu">
    <w:name w:val="mu"/>
    <w:basedOn w:val="Standaard"/>
    <w:pPr>
      <w:spacing w:before="100" w:beforeAutospacing="1" w:after="100" w:afterAutospacing="1"/>
    </w:pPr>
    <w:rPr>
      <w:lang w:val="nl-NL" w:eastAsia="nl-NL"/>
    </w:rPr>
  </w:style>
  <w:style w:type="character" w:customStyle="1" w:styleId="kop10">
    <w:name w:val="kop1"/>
    <w:basedOn w:val="Standaardalinea-lettertype"/>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um">
    <w:name w:val="Date"/>
    <w:basedOn w:val="Standaard"/>
    <w:next w:val="Standaard"/>
  </w:style>
  <w:style w:type="character" w:customStyle="1" w:styleId="style31">
    <w:name w:val="style31"/>
    <w:basedOn w:val="Standaardalinea-lettertype"/>
    <w:rPr>
      <w:rFonts w:ascii="Verdana" w:hAnsi="Verdana" w:hint="default"/>
      <w:sz w:val="21"/>
      <w:szCs w:val="21"/>
    </w:rPr>
  </w:style>
  <w:style w:type="character" w:customStyle="1" w:styleId="bodytext1">
    <w:name w:val="bodytext1"/>
    <w:basedOn w:val="Standaardalinea-lettertype"/>
    <w:rPr>
      <w:rFonts w:ascii="Verdana" w:hAnsi="Verdana" w:hint="default"/>
      <w:color w:val="000000"/>
      <w:sz w:val="17"/>
      <w:szCs w:val="17"/>
    </w:rPr>
  </w:style>
  <w:style w:type="paragraph" w:customStyle="1" w:styleId="TI1">
    <w:name w:val="TI1"/>
    <w:basedOn w:val="Standaard"/>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Standaard"/>
    <w:pPr>
      <w:spacing w:before="100" w:beforeAutospacing="1" w:after="100" w:afterAutospacing="1"/>
    </w:pPr>
  </w:style>
  <w:style w:type="paragraph" w:customStyle="1" w:styleId="Auteur">
    <w:name w:val="Auteur"/>
    <w:basedOn w:val="Standaard"/>
    <w:pPr>
      <w:spacing w:before="240" w:after="240"/>
      <w:jc w:val="right"/>
    </w:pPr>
  </w:style>
  <w:style w:type="paragraph" w:customStyle="1" w:styleId="Sprechblasentext">
    <w:name w:val="Sprechblasentext"/>
    <w:basedOn w:val="Standaard"/>
    <w:semiHidden/>
    <w:rPr>
      <w:rFonts w:ascii="Tahoma" w:hAnsi="Tahoma" w:cs="Tahoma"/>
      <w:sz w:val="16"/>
      <w:szCs w:val="16"/>
      <w:lang w:val="de-DE" w:eastAsia="de-DE"/>
    </w:rPr>
  </w:style>
  <w:style w:type="paragraph" w:customStyle="1" w:styleId="StandardhngenderEinzug">
    <w:name w:val="Standard hängender Einzug"/>
    <w:basedOn w:val="Standaard"/>
    <w:pPr>
      <w:tabs>
        <w:tab w:val="left" w:pos="397"/>
      </w:tabs>
      <w:spacing w:before="140" w:line="280" w:lineRule="exact"/>
      <w:ind w:left="397" w:hanging="397"/>
    </w:pPr>
    <w:rPr>
      <w:lang w:val="de-DE" w:eastAsia="ja-JP"/>
    </w:rPr>
  </w:style>
  <w:style w:type="paragraph" w:customStyle="1" w:styleId="22Pieddepage-5meligne">
    <w:name w:val="22. Pied de page - 5ème ligne"/>
    <w:basedOn w:val="Voettekst"/>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Standaard"/>
    <w:autoRedefine/>
    <w:pPr>
      <w:spacing w:line="360" w:lineRule="auto"/>
      <w:jc w:val="center"/>
    </w:pPr>
    <w:rPr>
      <w:rFonts w:ascii="Arial" w:hAnsi="Arial"/>
      <w:i/>
    </w:rPr>
  </w:style>
  <w:style w:type="character" w:styleId="Nadruk">
    <w:name w:val="Emphasis"/>
    <w:rsid w:val="00A367BE"/>
    <w:rPr>
      <w:caps/>
      <w:color w:val="294E1C" w:themeColor="accent1" w:themeShade="7F"/>
      <w:spacing w:val="5"/>
    </w:rPr>
  </w:style>
  <w:style w:type="paragraph" w:customStyle="1" w:styleId="contact">
    <w:name w:val="contact"/>
    <w:basedOn w:val="Standaard"/>
    <w:pPr>
      <w:spacing w:before="100" w:beforeAutospacing="1" w:after="100" w:afterAutospacing="1"/>
    </w:pPr>
    <w:rPr>
      <w:color w:val="891A02"/>
      <w:sz w:val="26"/>
      <w:szCs w:val="26"/>
    </w:rPr>
  </w:style>
  <w:style w:type="paragraph" w:styleId="Index1">
    <w:name w:val="index 1"/>
    <w:basedOn w:val="Standaard"/>
    <w:next w:val="Standaard"/>
    <w:autoRedefine/>
    <w:semiHidden/>
    <w:pPr>
      <w:ind w:left="240" w:hanging="240"/>
    </w:pPr>
  </w:style>
  <w:style w:type="paragraph" w:styleId="Indexkop">
    <w:name w:val="index heading"/>
    <w:basedOn w:val="Standaard"/>
    <w:next w:val="Index1"/>
    <w:semiHidden/>
    <w:pPr>
      <w:spacing w:before="120" w:after="120"/>
    </w:pPr>
    <w:rPr>
      <w:b/>
      <w:bCs/>
      <w:i/>
      <w:iCs/>
    </w:rPr>
  </w:style>
  <w:style w:type="character" w:customStyle="1" w:styleId="CarCar4">
    <w:name w:val="Car Car4"/>
    <w:basedOn w:val="Standaardalinea-lettertype"/>
    <w:rPr>
      <w:i/>
      <w:iCs/>
      <w:szCs w:val="24"/>
      <w:lang w:val="fr-FR" w:eastAsia="fr-FR" w:bidi="ar-SA"/>
    </w:rPr>
  </w:style>
  <w:style w:type="paragraph" w:customStyle="1" w:styleId="Lijstalinea1">
    <w:name w:val="Lijstalinea1"/>
    <w:basedOn w:val="Standaard"/>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Standaardalinea-lettertype"/>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Standaard"/>
    <w:pPr>
      <w:spacing w:before="100" w:beforeAutospacing="1" w:after="100" w:afterAutospacing="1" w:line="324" w:lineRule="auto"/>
    </w:pPr>
    <w:rPr>
      <w:rFonts w:ascii="Verdana" w:hAnsi="Verdana"/>
      <w:color w:val="000000"/>
    </w:rPr>
  </w:style>
  <w:style w:type="paragraph" w:customStyle="1" w:styleId="Titre111">
    <w:name w:val="Titre 111"/>
    <w:basedOn w:val="Standaard"/>
    <w:pPr>
      <w:outlineLvl w:val="1"/>
    </w:pPr>
    <w:rPr>
      <w:rFonts w:ascii="Verdana" w:hAnsi="Verdana"/>
      <w:b/>
      <w:bCs/>
      <w:color w:val="000000"/>
      <w:kern w:val="36"/>
    </w:rPr>
  </w:style>
  <w:style w:type="character" w:styleId="HTML-schrijfmachine">
    <w:name w:val="HTML Typewriter"/>
    <w:basedOn w:val="Standaardalinea-lettertype"/>
    <w:rPr>
      <w:rFonts w:ascii="Courier New" w:eastAsia="Times New Roman" w:hAnsi="Courier New" w:cs="Courier New"/>
      <w:sz w:val="20"/>
      <w:szCs w:val="20"/>
    </w:rPr>
  </w:style>
  <w:style w:type="paragraph" w:customStyle="1" w:styleId="Style1">
    <w:name w:val="Style1"/>
    <w:basedOn w:val="Kop2"/>
    <w:pPr>
      <w:pBdr>
        <w:bottom w:val="single" w:sz="4" w:space="1" w:color="auto"/>
      </w:pBdr>
      <w:spacing w:before="240" w:after="60"/>
    </w:pPr>
    <w:rPr>
      <w:rFonts w:ascii="Cambria" w:hAnsi="Cambria"/>
      <w:i/>
      <w:iCs/>
      <w:snapToGrid w:val="0"/>
      <w:lang w:val="en-US" w:eastAsia="en-US" w:bidi="en-US"/>
    </w:rPr>
  </w:style>
  <w:style w:type="paragraph" w:styleId="Lijstalinea">
    <w:name w:val="List Paragraph"/>
    <w:basedOn w:val="Standaard"/>
    <w:uiPriority w:val="34"/>
    <w:pPr>
      <w:ind w:left="720"/>
      <w:contextualSpacing/>
    </w:pPr>
  </w:style>
  <w:style w:type="paragraph" w:styleId="Geenafstand">
    <w:name w:val="No Spacing"/>
    <w:link w:val="GeenafstandChar"/>
    <w:uiPriority w:val="1"/>
    <w:rsid w:val="00A367BE"/>
    <w:pPr>
      <w:spacing w:after="0"/>
    </w:pPr>
  </w:style>
  <w:style w:type="character" w:customStyle="1" w:styleId="nobr">
    <w:name w:val="nobr"/>
    <w:basedOn w:val="Standaardalinea-lettertype"/>
  </w:style>
  <w:style w:type="paragraph" w:customStyle="1" w:styleId="potatobox">
    <w:name w:val="potatobox"/>
    <w:basedOn w:val="Standaard"/>
    <w:pPr>
      <w:spacing w:before="100" w:beforeAutospacing="1" w:after="100" w:afterAutospacing="1"/>
    </w:pPr>
  </w:style>
  <w:style w:type="paragraph" w:customStyle="1" w:styleId="persp">
    <w:name w:val="persp"/>
    <w:basedOn w:val="Standaard"/>
    <w:pPr>
      <w:spacing w:before="100" w:beforeAutospacing="1" w:after="100" w:afterAutospacing="1"/>
    </w:pPr>
  </w:style>
  <w:style w:type="paragraph" w:customStyle="1" w:styleId="question">
    <w:name w:val="question"/>
    <w:basedOn w:val="Standaard"/>
    <w:pPr>
      <w:spacing w:before="100" w:beforeAutospacing="1" w:after="100" w:afterAutospacing="1"/>
    </w:pPr>
  </w:style>
  <w:style w:type="paragraph" w:customStyle="1" w:styleId="answer">
    <w:name w:val="answer"/>
    <w:basedOn w:val="Standaard"/>
    <w:pPr>
      <w:spacing w:before="100" w:beforeAutospacing="1" w:after="100" w:afterAutospacing="1"/>
    </w:pPr>
  </w:style>
  <w:style w:type="character" w:customStyle="1" w:styleId="Kop2Char">
    <w:name w:val="Kop 2 Char"/>
    <w:basedOn w:val="Standaardalinea-lettertype"/>
    <w:link w:val="Kop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Standaardalinea-lettertype"/>
    <w:rPr>
      <w:szCs w:val="24"/>
      <w:lang w:val="fr-FR" w:eastAsia="fr-FR" w:bidi="ar-SA"/>
    </w:rPr>
  </w:style>
  <w:style w:type="paragraph" w:customStyle="1" w:styleId="msolistparagraph0">
    <w:name w:val="msolistparagraph"/>
    <w:basedOn w:val="Standaard"/>
    <w:pPr>
      <w:ind w:left="720"/>
    </w:pPr>
  </w:style>
  <w:style w:type="character" w:customStyle="1" w:styleId="Titre2Car2">
    <w:name w:val="Titre 2 Car2"/>
    <w:aliases w:val="Char Char Car,Char Car"/>
    <w:basedOn w:val="Standaardalinea-lettertype"/>
    <w:rsid w:val="00E13220"/>
    <w:rPr>
      <w:b/>
      <w:sz w:val="28"/>
      <w:szCs w:val="28"/>
      <w:shd w:val="clear" w:color="auto" w:fill="FFFFFF"/>
      <w:lang w:val="fr-FR" w:eastAsia="fr-FR"/>
    </w:rPr>
  </w:style>
  <w:style w:type="character" w:customStyle="1" w:styleId="Titre1Car1">
    <w:name w:val="Titre 1 Car1"/>
    <w:basedOn w:val="Standaardalinea-lettertype"/>
    <w:rsid w:val="00B72A2C"/>
    <w:rPr>
      <w:rFonts w:ascii="Bradley Hand ITC" w:hAnsi="Bradley Hand ITC"/>
      <w:b/>
      <w:bCs/>
      <w:noProof/>
      <w:sz w:val="52"/>
      <w:szCs w:val="52"/>
    </w:rPr>
  </w:style>
  <w:style w:type="character" w:customStyle="1" w:styleId="texto11">
    <w:name w:val="texto11"/>
    <w:basedOn w:val="Standaardalinea-lettertype"/>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Standaard"/>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Standaardalinea-lettertype"/>
    <w:rsid w:val="00F613B2"/>
    <w:rPr>
      <w:b/>
      <w:bCs/>
      <w:noProof/>
      <w:snapToGrid w:val="0"/>
      <w:color w:val="000000"/>
      <w:sz w:val="32"/>
      <w:szCs w:val="32"/>
      <w:lang w:val="fr-BE" w:eastAsia="fr-FR" w:bidi="ar-SA"/>
    </w:rPr>
  </w:style>
  <w:style w:type="character" w:customStyle="1" w:styleId="Kop1Char">
    <w:name w:val="Kop 1 Char"/>
    <w:basedOn w:val="Standaardalinea-lettertype"/>
    <w:link w:val="Kop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Standaardalinea-lettertype"/>
    <w:rsid w:val="00655390"/>
    <w:rPr>
      <w:rFonts w:ascii="Times New Roman" w:eastAsia="Times New Roman" w:hAnsi="Times New Roman"/>
      <w:b/>
    </w:rPr>
  </w:style>
  <w:style w:type="character" w:customStyle="1" w:styleId="TekstopmerkingChar">
    <w:name w:val="Tekst opmerking Char"/>
    <w:basedOn w:val="Standaardalinea-lettertype"/>
    <w:link w:val="Tekstopmerking"/>
    <w:uiPriority w:val="99"/>
    <w:locked/>
    <w:rsid w:val="00C35334"/>
    <w:rPr>
      <w:lang w:val="fr-FR" w:eastAsia="fr-FR" w:bidi="ar-SA"/>
    </w:rPr>
  </w:style>
  <w:style w:type="character" w:customStyle="1" w:styleId="KoptekstChar">
    <w:name w:val="Koptekst Char"/>
    <w:basedOn w:val="Standaardalinea-lettertype"/>
    <w:link w:val="Koptekst"/>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elChar">
    <w:name w:val="Titel Char"/>
    <w:basedOn w:val="Standaardalinea-lettertype"/>
    <w:link w:val="Titel"/>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Standaard"/>
    <w:rsid w:val="00AD0252"/>
    <w:pPr>
      <w:spacing w:line="240" w:lineRule="exact"/>
      <w:ind w:left="851" w:right="851" w:firstLine="1134"/>
    </w:pPr>
  </w:style>
  <w:style w:type="character" w:styleId="HTML-citaat">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Standaardalinea-lettertype"/>
    <w:rsid w:val="0042269B"/>
  </w:style>
  <w:style w:type="character" w:customStyle="1" w:styleId="VoetnoottekstChar">
    <w:name w:val="Voetnoottekst Char"/>
    <w:basedOn w:val="Standaardalinea-lettertype"/>
    <w:link w:val="Voetnoottekst"/>
    <w:semiHidden/>
    <w:locked/>
    <w:rsid w:val="00E81C23"/>
    <w:rPr>
      <w:lang w:val="fr-FR" w:eastAsia="fr-FR" w:bidi="ar-SA"/>
    </w:rPr>
  </w:style>
  <w:style w:type="paragraph" w:customStyle="1" w:styleId="Titre2">
    <w:name w:val="Titre2"/>
    <w:basedOn w:val="Standaard"/>
    <w:link w:val="Titre2Car"/>
    <w:rsid w:val="007C75AC"/>
    <w:pPr>
      <w:ind w:left="360"/>
      <w:jc w:val="center"/>
    </w:pPr>
    <w:rPr>
      <w:rFonts w:ascii="Comic Sans MS" w:hAnsi="Comic Sans MS"/>
      <w:b/>
      <w:bCs/>
      <w:noProof/>
      <w:snapToGrid w:val="0"/>
      <w:color w:val="000000"/>
      <w:sz w:val="28"/>
      <w:szCs w:val="28"/>
    </w:rPr>
  </w:style>
  <w:style w:type="character" w:customStyle="1" w:styleId="Titre2Car">
    <w:name w:val="Titre2 Car"/>
    <w:basedOn w:val="Standaardalinea-lettertype"/>
    <w:link w:val="Titre2"/>
    <w:rsid w:val="007C75AC"/>
    <w:rPr>
      <w:rFonts w:ascii="Comic Sans MS" w:hAnsi="Comic Sans MS"/>
      <w:b/>
      <w:bCs/>
      <w:noProof/>
      <w:snapToGrid w:val="0"/>
      <w:color w:val="000000"/>
      <w:sz w:val="28"/>
      <w:szCs w:val="28"/>
      <w:lang w:eastAsia="fr-FR"/>
    </w:rPr>
  </w:style>
  <w:style w:type="character" w:customStyle="1" w:styleId="Kop3Char">
    <w:name w:val="Kop 3 Char"/>
    <w:basedOn w:val="Standaardalinea-lettertype"/>
    <w:link w:val="Kop3"/>
    <w:uiPriority w:val="9"/>
    <w:rsid w:val="00E12856"/>
    <w:rPr>
      <w:b/>
      <w:color w:val="3E762A" w:themeColor="accent1" w:themeShade="BF"/>
      <w:spacing w:val="15"/>
      <w:sz w:val="22"/>
    </w:rPr>
  </w:style>
  <w:style w:type="character" w:customStyle="1" w:styleId="Kop4Char">
    <w:name w:val="Kop 4 Char"/>
    <w:basedOn w:val="Standaardalinea-lettertype"/>
    <w:link w:val="Kop4"/>
    <w:uiPriority w:val="9"/>
    <w:rsid w:val="004C52A9"/>
    <w:rPr>
      <w:color w:val="3E762A" w:themeColor="accent1" w:themeShade="BF"/>
      <w:spacing w:val="10"/>
      <w:sz w:val="22"/>
    </w:rPr>
  </w:style>
  <w:style w:type="character" w:customStyle="1" w:styleId="Kop5Char">
    <w:name w:val="Kop 5 Char"/>
    <w:basedOn w:val="Standaardalinea-lettertype"/>
    <w:link w:val="Kop5"/>
    <w:uiPriority w:val="9"/>
    <w:rsid w:val="00955631"/>
    <w:rPr>
      <w:rFonts w:ascii="Comic Sans MS" w:hAnsi="Comic Sans MS"/>
      <w:i/>
      <w:color w:val="3E762A" w:themeColor="accent1" w:themeShade="BF"/>
      <w:spacing w:val="10"/>
    </w:rPr>
  </w:style>
  <w:style w:type="character" w:customStyle="1" w:styleId="Kop6Char">
    <w:name w:val="Kop 6 Char"/>
    <w:basedOn w:val="Standaardalinea-lettertype"/>
    <w:link w:val="Kop6"/>
    <w:uiPriority w:val="9"/>
    <w:rsid w:val="00A367BE"/>
    <w:rPr>
      <w:caps/>
      <w:color w:val="3E762A" w:themeColor="accent1" w:themeShade="BF"/>
      <w:spacing w:val="10"/>
    </w:rPr>
  </w:style>
  <w:style w:type="character" w:customStyle="1" w:styleId="Kop7Char">
    <w:name w:val="Kop 7 Char"/>
    <w:basedOn w:val="Standaardalinea-lettertype"/>
    <w:link w:val="Kop7"/>
    <w:uiPriority w:val="9"/>
    <w:rsid w:val="00A367BE"/>
    <w:rPr>
      <w:caps/>
      <w:color w:val="3E762A" w:themeColor="accent1" w:themeShade="BF"/>
      <w:spacing w:val="10"/>
    </w:rPr>
  </w:style>
  <w:style w:type="character" w:customStyle="1" w:styleId="Kop8Char">
    <w:name w:val="Kop 8 Char"/>
    <w:basedOn w:val="Standaardalinea-lettertype"/>
    <w:link w:val="Kop8"/>
    <w:uiPriority w:val="9"/>
    <w:rsid w:val="00A367BE"/>
    <w:rPr>
      <w:caps/>
      <w:spacing w:val="10"/>
      <w:sz w:val="18"/>
      <w:szCs w:val="18"/>
    </w:rPr>
  </w:style>
  <w:style w:type="character" w:customStyle="1" w:styleId="Kop9Char">
    <w:name w:val="Kop 9 Char"/>
    <w:basedOn w:val="Standaardalinea-lettertype"/>
    <w:link w:val="Kop9"/>
    <w:uiPriority w:val="9"/>
    <w:rsid w:val="00A367BE"/>
    <w:rPr>
      <w:i/>
      <w:iCs/>
      <w:caps/>
      <w:spacing w:val="10"/>
      <w:sz w:val="18"/>
      <w:szCs w:val="18"/>
    </w:rPr>
  </w:style>
  <w:style w:type="character" w:customStyle="1" w:styleId="OndertitelChar">
    <w:name w:val="Ondertitel Char"/>
    <w:basedOn w:val="Standaardalinea-lettertype"/>
    <w:link w:val="Ondertitel"/>
    <w:uiPriority w:val="11"/>
    <w:rsid w:val="00A367BE"/>
    <w:rPr>
      <w:caps/>
      <w:color w:val="595959" w:themeColor="text1" w:themeTint="A6"/>
      <w:spacing w:val="10"/>
      <w:sz w:val="21"/>
      <w:szCs w:val="21"/>
    </w:rPr>
  </w:style>
  <w:style w:type="paragraph" w:styleId="Citaat">
    <w:name w:val="Quote"/>
    <w:basedOn w:val="Standaard"/>
    <w:next w:val="Standaard"/>
    <w:link w:val="CitaatChar"/>
    <w:uiPriority w:val="29"/>
    <w:rsid w:val="00A367BE"/>
    <w:rPr>
      <w:i/>
      <w:iCs/>
      <w:sz w:val="24"/>
      <w:szCs w:val="24"/>
    </w:rPr>
  </w:style>
  <w:style w:type="character" w:customStyle="1" w:styleId="CitaatChar">
    <w:name w:val="Citaat Char"/>
    <w:basedOn w:val="Standaardalinea-lettertype"/>
    <w:link w:val="Citaat"/>
    <w:uiPriority w:val="29"/>
    <w:rsid w:val="00A367BE"/>
    <w:rPr>
      <w:i/>
      <w:iCs/>
      <w:sz w:val="24"/>
      <w:szCs w:val="24"/>
    </w:rPr>
  </w:style>
  <w:style w:type="paragraph" w:styleId="Duidelijkcitaat">
    <w:name w:val="Intense Quote"/>
    <w:basedOn w:val="Standaard"/>
    <w:next w:val="Standaard"/>
    <w:link w:val="DuidelijkcitaatChar"/>
    <w:uiPriority w:val="30"/>
    <w:rsid w:val="00A367BE"/>
    <w:pPr>
      <w:spacing w:before="240" w:after="240"/>
      <w:ind w:left="1080" w:right="1080"/>
      <w:jc w:val="center"/>
    </w:pPr>
    <w:rPr>
      <w:color w:val="549E39" w:themeColor="accent1"/>
      <w:sz w:val="24"/>
      <w:szCs w:val="24"/>
    </w:rPr>
  </w:style>
  <w:style w:type="character" w:customStyle="1" w:styleId="DuidelijkcitaatChar">
    <w:name w:val="Duidelijk citaat Char"/>
    <w:basedOn w:val="Standaardalinea-lettertype"/>
    <w:link w:val="Duidelijkcitaat"/>
    <w:uiPriority w:val="30"/>
    <w:rsid w:val="00A367BE"/>
    <w:rPr>
      <w:color w:val="549E39" w:themeColor="accent1"/>
      <w:sz w:val="24"/>
      <w:szCs w:val="24"/>
    </w:rPr>
  </w:style>
  <w:style w:type="character" w:styleId="Subtielebenadrukking">
    <w:name w:val="Subtle Emphasis"/>
    <w:uiPriority w:val="19"/>
    <w:rsid w:val="00A367BE"/>
    <w:rPr>
      <w:i/>
      <w:iCs/>
      <w:color w:val="294E1C" w:themeColor="accent1" w:themeShade="7F"/>
    </w:rPr>
  </w:style>
  <w:style w:type="character" w:styleId="Intensievebenadrukking">
    <w:name w:val="Intense Emphasis"/>
    <w:uiPriority w:val="21"/>
    <w:rsid w:val="00A367BE"/>
    <w:rPr>
      <w:b/>
      <w:bCs/>
      <w:caps/>
      <w:color w:val="294E1C" w:themeColor="accent1" w:themeShade="7F"/>
      <w:spacing w:val="10"/>
    </w:rPr>
  </w:style>
  <w:style w:type="character" w:styleId="Subtieleverwijzing">
    <w:name w:val="Subtle Reference"/>
    <w:uiPriority w:val="31"/>
    <w:rsid w:val="00A367BE"/>
    <w:rPr>
      <w:b/>
      <w:bCs/>
      <w:color w:val="549E39" w:themeColor="accent1"/>
    </w:rPr>
  </w:style>
  <w:style w:type="character" w:styleId="Intensieveverwijzing">
    <w:name w:val="Intense Reference"/>
    <w:uiPriority w:val="32"/>
    <w:rsid w:val="00A367BE"/>
    <w:rPr>
      <w:b/>
      <w:bCs/>
      <w:i/>
      <w:iCs/>
      <w:caps/>
      <w:color w:val="549E39" w:themeColor="accent1"/>
    </w:rPr>
  </w:style>
  <w:style w:type="character" w:styleId="Titelvanboek">
    <w:name w:val="Book Title"/>
    <w:uiPriority w:val="33"/>
    <w:rsid w:val="00A367BE"/>
    <w:rPr>
      <w:b/>
      <w:bCs/>
      <w:i/>
      <w:iCs/>
      <w:spacing w:val="0"/>
    </w:rPr>
  </w:style>
  <w:style w:type="paragraph" w:styleId="Kopvaninhoudsopgave">
    <w:name w:val="TOC Heading"/>
    <w:basedOn w:val="Kop1"/>
    <w:next w:val="Standaard"/>
    <w:uiPriority w:val="39"/>
    <w:unhideWhenUsed/>
    <w:rsid w:val="00A367BE"/>
    <w:pPr>
      <w:outlineLvl w:val="9"/>
    </w:pPr>
  </w:style>
  <w:style w:type="paragraph" w:styleId="Onderwerpvanopmerking">
    <w:name w:val="annotation subject"/>
    <w:basedOn w:val="Tekstopmerking"/>
    <w:next w:val="Tekstopmerking"/>
    <w:link w:val="OnderwerpvanopmerkingChar"/>
    <w:rsid w:val="00705C95"/>
    <w:rPr>
      <w:b/>
      <w:bCs/>
    </w:rPr>
  </w:style>
  <w:style w:type="character" w:customStyle="1" w:styleId="OnderwerpvanopmerkingChar">
    <w:name w:val="Onderwerp van opmerking Char"/>
    <w:basedOn w:val="TekstopmerkingChar"/>
    <w:link w:val="Onderwerpvanopmerking"/>
    <w:rsid w:val="00705C95"/>
    <w:rPr>
      <w:b/>
      <w:bCs/>
      <w:lang w:val="fr-FR" w:eastAsia="fr-FR" w:bidi="ar-SA"/>
    </w:rPr>
  </w:style>
  <w:style w:type="paragraph" w:customStyle="1" w:styleId="CM4">
    <w:name w:val="CM4"/>
    <w:basedOn w:val="Standaard"/>
    <w:next w:val="Standaard"/>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Standaardalinea-lettertype"/>
    <w:rsid w:val="00DB1C41"/>
    <w:rPr>
      <w:rFonts w:ascii="Arial" w:hAnsi="Arial" w:cs="Arial" w:hint="default"/>
      <w:b w:val="0"/>
      <w:bCs w:val="0"/>
      <w:strike w:val="0"/>
      <w:dstrike w:val="0"/>
      <w:color w:val="000000"/>
      <w:sz w:val="24"/>
      <w:szCs w:val="24"/>
      <w:u w:val="none"/>
      <w:effect w:val="none"/>
    </w:rPr>
  </w:style>
  <w:style w:type="character" w:customStyle="1" w:styleId="GeenafstandChar">
    <w:name w:val="Geen afstand Char"/>
    <w:basedOn w:val="Standaardalinea-lettertype"/>
    <w:link w:val="Geenafstand"/>
    <w:uiPriority w:val="1"/>
    <w:rsid w:val="00A17CCA"/>
  </w:style>
  <w:style w:type="character" w:customStyle="1" w:styleId="st">
    <w:name w:val="st"/>
    <w:basedOn w:val="Standaardalinea-lettertype"/>
    <w:rsid w:val="00155098"/>
  </w:style>
  <w:style w:type="character" w:customStyle="1" w:styleId="ms-rtecustom-h31">
    <w:name w:val="ms-rtecustom-h31"/>
    <w:basedOn w:val="Standaardalinea-lettertype"/>
    <w:rsid w:val="00D63A1B"/>
    <w:rPr>
      <w:rFonts w:ascii="Helvetica" w:hAnsi="Helvetica" w:hint="default"/>
      <w:b/>
      <w:bCs/>
      <w:color w:val="666666"/>
      <w:sz w:val="20"/>
      <w:szCs w:val="20"/>
    </w:rPr>
  </w:style>
  <w:style w:type="character" w:customStyle="1" w:styleId="ms-rtecustom-h21">
    <w:name w:val="ms-rtecustom-h21"/>
    <w:basedOn w:val="Standaardalinea-lettertype"/>
    <w:rsid w:val="00D63A1B"/>
    <w:rPr>
      <w:rFonts w:ascii="Helvetica" w:hAnsi="Helvetica" w:hint="default"/>
      <w:b/>
      <w:bCs/>
      <w:color w:val="666666"/>
      <w:sz w:val="26"/>
      <w:szCs w:val="26"/>
    </w:rPr>
  </w:style>
  <w:style w:type="character" w:customStyle="1" w:styleId="ms-rtecustom-bodytext1">
    <w:name w:val="ms-rtecustom-bodytext1"/>
    <w:basedOn w:val="Standaardalinea-lettertype"/>
    <w:rsid w:val="00D63A1B"/>
    <w:rPr>
      <w:rFonts w:ascii="Helvetica" w:hAnsi="Helvetica" w:hint="default"/>
      <w:b w:val="0"/>
      <w:bCs w:val="0"/>
      <w:color w:val="666666"/>
      <w:sz w:val="18"/>
      <w:szCs w:val="18"/>
    </w:rPr>
  </w:style>
  <w:style w:type="character" w:customStyle="1" w:styleId="hps">
    <w:name w:val="hps"/>
    <w:basedOn w:val="Standaardalinea-lettertype"/>
    <w:rsid w:val="00C31AC4"/>
  </w:style>
  <w:style w:type="paragraph" w:customStyle="1" w:styleId="bodytext">
    <w:name w:val="bodytext"/>
    <w:basedOn w:val="Standaard"/>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VoettekstChar1">
    <w:name w:val="Voettekst Char1"/>
    <w:aliases w:val="Voettekst Char Char"/>
    <w:basedOn w:val="Standaardalinea-lettertype"/>
    <w:link w:val="Voettekst"/>
    <w:uiPriority w:val="99"/>
    <w:rsid w:val="00163872"/>
  </w:style>
  <w:style w:type="character" w:customStyle="1" w:styleId="TekstzonderopmaakChar">
    <w:name w:val="Tekst zonder opmaak Char"/>
    <w:basedOn w:val="Standaardalinea-lettertype"/>
    <w:link w:val="Tekstzonderopmaak"/>
    <w:uiPriority w:val="99"/>
    <w:rsid w:val="00277607"/>
  </w:style>
  <w:style w:type="paragraph" w:customStyle="1" w:styleId="Samenvatting">
    <w:name w:val="Samenvatting"/>
    <w:basedOn w:val="Standaard"/>
    <w:rsid w:val="006611A1"/>
    <w:pPr>
      <w:spacing w:after="0" w:line="264" w:lineRule="auto"/>
    </w:pPr>
    <w:rPr>
      <w:rFonts w:ascii="Gill Sans MT" w:eastAsia="Times New Roman" w:hAnsi="Gill Sans MT" w:cs="Times New Roman"/>
      <w:i/>
      <w:iCs/>
      <w:szCs w:val="22"/>
      <w:lang w:val="nl-NL" w:eastAsia="nl-NL"/>
    </w:rPr>
  </w:style>
  <w:style w:type="character" w:customStyle="1" w:styleId="PlattetekstChar">
    <w:name w:val="Platte tekst Char"/>
    <w:link w:val="Plattetekst"/>
    <w:rsid w:val="00522ECA"/>
  </w:style>
  <w:style w:type="paragraph" w:customStyle="1" w:styleId="AuteurFI">
    <w:name w:val="Auteur FI"/>
    <w:basedOn w:val="Standaard"/>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Standaardalinea-lettertype"/>
    <w:link w:val="AuteurFI"/>
    <w:rsid w:val="009402E1"/>
    <w:rPr>
      <w:rFonts w:ascii="Comic Sans MS" w:hAnsi="Comic Sans MS"/>
      <w:i/>
      <w:iCs/>
    </w:rPr>
  </w:style>
  <w:style w:type="table" w:styleId="Rastertabel4-Accent1">
    <w:name w:val="Grid Table 4 Accent 1"/>
    <w:basedOn w:val="Standaardtabe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Rastertabel5donker-Accent1">
    <w:name w:val="Grid Table 5 Dark Accent 1"/>
    <w:basedOn w:val="Standaardtabe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Rastertabel6kleurrijk-Accent1">
    <w:name w:val="Grid Table 6 Colorful Accent 1"/>
    <w:basedOn w:val="Standaardtabe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jsttabel4-Accent1">
    <w:name w:val="List Table 4 Accent 1"/>
    <w:basedOn w:val="Standaardtabe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53697890">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1953</Words>
  <Characters>10595</Characters>
  <Application>Microsoft Office Word</Application>
  <DocSecurity>0</DocSecurity>
  <Lines>88</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Chers membres,</vt:lpstr>
      <vt:lpstr>Chers membres,</vt:lpstr>
    </vt:vector>
  </TitlesOfParts>
  <Company/>
  <LinksUpToDate>false</LinksUpToDate>
  <CharactersWithSpaces>12523</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Sofie Schepereel</cp:lastModifiedBy>
  <cp:revision>39</cp:revision>
  <cp:lastPrinted>2024-02-16T09:25:00Z</cp:lastPrinted>
  <dcterms:created xsi:type="dcterms:W3CDTF">2024-02-01T12:47:00Z</dcterms:created>
  <dcterms:modified xsi:type="dcterms:W3CDTF">2024-02-17T08:03:00Z</dcterms:modified>
</cp:coreProperties>
</file>